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both"/>
        <w:rPr>
          <w:spacing w:val="40"/>
        </w:rPr>
      </w:pPr>
      <w:bookmarkStart w:id="1" w:name="_GoBack"/>
      <w:bookmarkEnd w:id="1"/>
      <w:r>
        <w:rPr>
          <w:rFonts w:hint="eastAsia"/>
          <w:spacing w:val="40"/>
        </w:rPr>
        <w:t>檔號：</w:t>
      </w:r>
      <w:r>
        <w:rPr>
          <w:spacing w:val="20"/>
        </w:rPr>
        <w:t>EDB/</w:t>
      </w:r>
      <w:r>
        <w:rPr>
          <w:rFonts w:hint="eastAsia"/>
          <w:spacing w:val="20"/>
        </w:rPr>
        <w:t>SMEP</w:t>
      </w:r>
      <w:r>
        <w:rPr>
          <w:spacing w:val="20"/>
        </w:rPr>
        <w:t>/2/13(</w:t>
      </w:r>
      <w:r>
        <w:rPr>
          <w:rFonts w:hint="eastAsia"/>
          <w:spacing w:val="20"/>
        </w:rPr>
        <w:t>1</w:t>
      </w:r>
      <w:r>
        <w:rPr>
          <w:spacing w:val="20"/>
        </w:rPr>
        <w:t>2)</w:t>
      </w:r>
    </w:p>
    <w:p>
      <w:pPr>
        <w:adjustRightInd w:val="0"/>
        <w:snapToGrid w:val="0"/>
        <w:jc w:val="center"/>
        <w:rPr>
          <w:b/>
          <w:spacing w:val="20"/>
        </w:rPr>
      </w:pPr>
    </w:p>
    <w:p>
      <w:pPr>
        <w:adjustRightInd w:val="0"/>
        <w:snapToGrid w:val="0"/>
        <w:jc w:val="center"/>
        <w:rPr>
          <w:b/>
          <w:spacing w:val="20"/>
        </w:rPr>
      </w:pPr>
      <w:r>
        <w:rPr>
          <w:rFonts w:hint="eastAsia"/>
          <w:b/>
          <w:spacing w:val="20"/>
        </w:rPr>
        <w:t>教育局通函第208/201</w:t>
      </w:r>
      <w:r>
        <w:rPr>
          <w:b/>
          <w:spacing w:val="20"/>
        </w:rPr>
        <w:t>7</w:t>
      </w:r>
      <w:r>
        <w:rPr>
          <w:rFonts w:hint="eastAsia"/>
          <w:b/>
          <w:spacing w:val="20"/>
        </w:rPr>
        <w:t>號</w:t>
      </w:r>
    </w:p>
    <w:tbl>
      <w:tblPr>
        <w:tblStyle w:val="20"/>
        <w:tblW w:w="9809"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28" w:type="dxa"/>
          <w:bottom w:w="0" w:type="dxa"/>
          <w:right w:w="28" w:type="dxa"/>
        </w:tblCellMar>
      </w:tblPr>
      <w:tblGrid>
        <w:gridCol w:w="4968"/>
        <w:gridCol w:w="4841"/>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28" w:type="dxa"/>
            <w:bottom w:w="0" w:type="dxa"/>
            <w:right w:w="28" w:type="dxa"/>
          </w:tblCellMar>
        </w:tblPrEx>
        <w:tc>
          <w:tcPr>
            <w:tcW w:w="4968" w:type="dxa"/>
            <w:vAlign w:val="top"/>
          </w:tcPr>
          <w:p>
            <w:pPr>
              <w:adjustRightInd w:val="0"/>
              <w:snapToGrid w:val="0"/>
              <w:ind w:left="1619" w:hanging="1619"/>
              <w:jc w:val="both"/>
              <w:rPr>
                <w:spacing w:val="20"/>
              </w:rPr>
            </w:pPr>
          </w:p>
          <w:p>
            <w:pPr>
              <w:adjustRightInd w:val="0"/>
              <w:snapToGrid w:val="0"/>
              <w:ind w:left="1390" w:hanging="1390"/>
              <w:jc w:val="both"/>
              <w:rPr>
                <w:spacing w:val="20"/>
              </w:rPr>
            </w:pPr>
            <w:r>
              <w:rPr>
                <w:rFonts w:hint="eastAsia"/>
                <w:spacing w:val="20"/>
              </w:rPr>
              <w:t>分發名單：</w:t>
            </w:r>
            <w:r>
              <w:rPr>
                <w:spacing w:val="20"/>
              </w:rPr>
              <w:tab/>
            </w:r>
            <w:r>
              <w:rPr>
                <w:rFonts w:hint="eastAsia"/>
                <w:spacing w:val="20"/>
              </w:rPr>
              <w:t>各小學及中學校長</w:t>
            </w:r>
          </w:p>
        </w:tc>
        <w:tc>
          <w:tcPr>
            <w:tcW w:w="4841" w:type="dxa"/>
            <w:vAlign w:val="top"/>
          </w:tcPr>
          <w:p>
            <w:pPr>
              <w:adjustRightInd w:val="0"/>
              <w:snapToGrid w:val="0"/>
              <w:jc w:val="right"/>
              <w:rPr>
                <w:spacing w:val="20"/>
              </w:rPr>
            </w:pPr>
          </w:p>
          <w:p>
            <w:pPr>
              <w:adjustRightInd w:val="0"/>
              <w:snapToGrid w:val="0"/>
              <w:jc w:val="right"/>
              <w:rPr>
                <w:spacing w:val="20"/>
              </w:rPr>
            </w:pPr>
            <w:r>
              <w:rPr>
                <w:rFonts w:hint="eastAsia"/>
                <w:spacing w:val="20"/>
              </w:rPr>
              <w:t>副本送：各組主管</w:t>
            </w:r>
          </w:p>
        </w:tc>
      </w:tr>
    </w:tbl>
    <w:p>
      <w:pPr>
        <w:adjustRightInd w:val="0"/>
        <w:snapToGrid w:val="0"/>
        <w:jc w:val="center"/>
        <w:rPr>
          <w:b/>
          <w:spacing w:val="20"/>
          <w:u w:val="none" w:color="FFFFFF"/>
        </w:rPr>
      </w:pPr>
    </w:p>
    <w:p>
      <w:pPr>
        <w:adjustRightInd w:val="0"/>
        <w:snapToGrid w:val="0"/>
        <w:jc w:val="center"/>
        <w:rPr>
          <w:b/>
          <w:spacing w:val="20"/>
        </w:rPr>
      </w:pPr>
      <w:r>
        <w:rPr>
          <w:rFonts w:hint="eastAsia"/>
          <w:b/>
          <w:spacing w:val="20"/>
        </w:rPr>
        <w:t>第十二屆「香港盃外交知識</w:t>
      </w:r>
      <w:bookmarkStart w:id="0" w:name="_Hlk217636212"/>
      <w:r>
        <w:rPr>
          <w:rFonts w:hint="eastAsia"/>
          <w:b/>
          <w:spacing w:val="20"/>
        </w:rPr>
        <w:t>競</w:t>
      </w:r>
      <w:bookmarkEnd w:id="0"/>
      <w:r>
        <w:rPr>
          <w:rFonts w:hint="eastAsia"/>
          <w:b/>
          <w:spacing w:val="20"/>
        </w:rPr>
        <w:t>賽」</w:t>
      </w:r>
    </w:p>
    <w:p>
      <w:pPr>
        <w:adjustRightInd w:val="0"/>
        <w:snapToGrid w:val="0"/>
        <w:jc w:val="center"/>
        <w:rPr>
          <w:spacing w:val="20"/>
          <w:u w:val="none" w:color="FFFFFF"/>
        </w:rPr>
      </w:pPr>
    </w:p>
    <w:p>
      <w:pPr>
        <w:adjustRightInd w:val="0"/>
        <w:snapToGrid w:val="0"/>
        <w:jc w:val="both"/>
        <w:rPr>
          <w:b/>
          <w:spacing w:val="20"/>
        </w:rPr>
      </w:pPr>
      <w:r>
        <w:rPr>
          <w:rFonts w:hint="eastAsia"/>
          <w:b/>
          <w:spacing w:val="20"/>
        </w:rPr>
        <w:t>摘要</w:t>
      </w:r>
    </w:p>
    <w:p>
      <w:pPr>
        <w:adjustRightInd w:val="0"/>
        <w:snapToGrid w:val="0"/>
        <w:jc w:val="both"/>
        <w:rPr>
          <w:snapToGrid w:val="0"/>
          <w:spacing w:val="20"/>
          <w:kern w:val="0"/>
          <w:u w:val="none" w:color="FFFFFF"/>
        </w:rPr>
      </w:pPr>
    </w:p>
    <w:p>
      <w:pPr>
        <w:tabs>
          <w:tab w:val="left" w:pos="709"/>
        </w:tabs>
        <w:adjustRightInd w:val="0"/>
        <w:snapToGrid w:val="0"/>
        <w:jc w:val="both"/>
        <w:rPr>
          <w:spacing w:val="20"/>
        </w:rPr>
      </w:pPr>
      <w:r>
        <w:rPr>
          <w:snapToGrid w:val="0"/>
          <w:spacing w:val="20"/>
          <w:kern w:val="0"/>
          <w:u w:val="none" w:color="FFFFFF"/>
        </w:rPr>
        <w:tab/>
      </w:r>
      <w:r>
        <w:rPr>
          <w:rFonts w:hint="eastAsia"/>
          <w:spacing w:val="20"/>
        </w:rPr>
        <w:t>本通函旨在邀請各中、小學參加上述比</w:t>
      </w:r>
      <w:r>
        <w:rPr>
          <w:spacing w:val="20"/>
        </w:rPr>
        <w:t>賽</w:t>
      </w:r>
      <w:r>
        <w:rPr>
          <w:rFonts w:hint="eastAsia"/>
          <w:spacing w:val="20"/>
        </w:rPr>
        <w:t>。</w:t>
      </w:r>
    </w:p>
    <w:p>
      <w:pPr>
        <w:tabs>
          <w:tab w:val="left" w:pos="567"/>
        </w:tabs>
        <w:adjustRightInd w:val="0"/>
        <w:snapToGrid w:val="0"/>
        <w:jc w:val="both"/>
        <w:rPr>
          <w:spacing w:val="20"/>
          <w:u w:val="none" w:color="FFFFFF"/>
        </w:rPr>
      </w:pPr>
    </w:p>
    <w:p>
      <w:pPr>
        <w:adjustRightInd w:val="0"/>
        <w:snapToGrid w:val="0"/>
        <w:jc w:val="both"/>
        <w:rPr>
          <w:b/>
          <w:spacing w:val="20"/>
        </w:rPr>
      </w:pPr>
      <w:r>
        <w:rPr>
          <w:rFonts w:hint="eastAsia"/>
          <w:b/>
          <w:spacing w:val="20"/>
        </w:rPr>
        <w:t>詳情</w:t>
      </w:r>
    </w:p>
    <w:p>
      <w:pPr>
        <w:adjustRightInd w:val="0"/>
        <w:snapToGrid w:val="0"/>
        <w:jc w:val="both"/>
        <w:rPr>
          <w:spacing w:val="20"/>
          <w:u w:val="none" w:color="FFFFFF"/>
        </w:rPr>
      </w:pPr>
    </w:p>
    <w:p>
      <w:pPr>
        <w:numPr>
          <w:ilvl w:val="0"/>
          <w:numId w:val="1"/>
        </w:numPr>
        <w:tabs>
          <w:tab w:val="left" w:pos="709"/>
        </w:tabs>
        <w:adjustRightInd w:val="0"/>
        <w:snapToGrid w:val="0"/>
        <w:ind w:left="0" w:firstLine="0"/>
        <w:jc w:val="both"/>
        <w:rPr>
          <w:spacing w:val="20"/>
        </w:rPr>
      </w:pPr>
      <w:r>
        <w:rPr>
          <w:rFonts w:hint="eastAsia"/>
          <w:spacing w:val="20"/>
        </w:rPr>
        <w:t>「</w:t>
      </w:r>
      <w:r>
        <w:rPr>
          <w:spacing w:val="20"/>
        </w:rPr>
        <w:t>香港</w:t>
      </w:r>
      <w:r>
        <w:rPr>
          <w:rFonts w:hint="eastAsia"/>
          <w:spacing w:val="20"/>
        </w:rPr>
        <w:t>盃</w:t>
      </w:r>
      <w:r>
        <w:rPr>
          <w:spacing w:val="20"/>
        </w:rPr>
        <w:t>外交知識競賽</w:t>
      </w:r>
      <w:r>
        <w:rPr>
          <w:rFonts w:hint="eastAsia"/>
          <w:spacing w:val="20"/>
        </w:rPr>
        <w:t>」</w:t>
      </w:r>
      <w:r>
        <w:rPr>
          <w:spacing w:val="20"/>
        </w:rPr>
        <w:t>由</w:t>
      </w:r>
      <w:r>
        <w:rPr>
          <w:rFonts w:hint="eastAsia"/>
          <w:spacing w:val="20"/>
        </w:rPr>
        <w:t>外交部駐香港特別行政區特派員公署</w:t>
      </w:r>
      <w:r>
        <w:rPr>
          <w:spacing w:val="20"/>
        </w:rPr>
        <w:t>、教育局與香港明天更好基金聯合主辦</w:t>
      </w:r>
      <w:r>
        <w:rPr>
          <w:rFonts w:hint="eastAsia"/>
          <w:spacing w:val="20"/>
        </w:rPr>
        <w:t>，目的是</w:t>
      </w:r>
      <w:r>
        <w:rPr>
          <w:spacing w:val="20"/>
        </w:rPr>
        <w:t>提升</w:t>
      </w:r>
      <w:r>
        <w:rPr>
          <w:rFonts w:hint="eastAsia"/>
          <w:spacing w:val="20"/>
        </w:rPr>
        <w:t>學生對</w:t>
      </w:r>
      <w:r>
        <w:rPr>
          <w:spacing w:val="20"/>
        </w:rPr>
        <w:t>國</w:t>
      </w:r>
      <w:r>
        <w:rPr>
          <w:rFonts w:hint="eastAsia"/>
          <w:spacing w:val="20"/>
        </w:rPr>
        <w:t>家</w:t>
      </w:r>
      <w:r>
        <w:rPr>
          <w:spacing w:val="20"/>
        </w:rPr>
        <w:t>外交知識的興趣</w:t>
      </w:r>
      <w:r>
        <w:rPr>
          <w:rFonts w:hint="eastAsia"/>
          <w:spacing w:val="20"/>
        </w:rPr>
        <w:t>和認知，藉此放眼世界，了解</w:t>
      </w:r>
      <w:r>
        <w:rPr>
          <w:spacing w:val="20"/>
        </w:rPr>
        <w:t>外交</w:t>
      </w:r>
      <w:r>
        <w:rPr>
          <w:rFonts w:hint="eastAsia"/>
          <w:spacing w:val="20"/>
        </w:rPr>
        <w:t>對全球化發展的重要性</w:t>
      </w:r>
      <w:r>
        <w:rPr>
          <w:spacing w:val="20"/>
        </w:rPr>
        <w:t>。</w:t>
      </w:r>
    </w:p>
    <w:p>
      <w:pPr>
        <w:adjustRightInd w:val="0"/>
        <w:snapToGrid w:val="0"/>
        <w:jc w:val="both"/>
        <w:rPr>
          <w:spacing w:val="20"/>
          <w:u w:val="none" w:color="FFFFFF"/>
        </w:rPr>
      </w:pPr>
    </w:p>
    <w:p>
      <w:pPr>
        <w:pStyle w:val="23"/>
        <w:numPr>
          <w:ilvl w:val="0"/>
          <w:numId w:val="1"/>
        </w:numPr>
        <w:tabs>
          <w:tab w:val="left" w:pos="709"/>
        </w:tabs>
        <w:adjustRightInd w:val="0"/>
        <w:snapToGrid w:val="0"/>
        <w:ind w:left="0" w:leftChars="0" w:firstLine="0"/>
        <w:jc w:val="both"/>
        <w:rPr>
          <w:spacing w:val="20"/>
        </w:rPr>
      </w:pPr>
      <w:r>
        <w:rPr>
          <w:rFonts w:ascii="Times New Roman" w:hAnsi="Times New Roman" w:eastAsia="PMingLiU" w:cs="Times New Roman"/>
          <w:spacing w:val="20"/>
          <w:kern w:val="2"/>
          <w:sz w:val="24"/>
          <w:szCs w:val="24"/>
          <w:u w:val="none" w:color="FFFFFF"/>
          <w:lang w:val="en-US" w:eastAsia="zh-TW" w:bidi="ar-SA"/>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492760</wp:posOffset>
                </wp:positionV>
                <wp:extent cx="353695" cy="635"/>
                <wp:effectExtent l="0" t="0" r="0" b="0"/>
                <wp:wrapNone/>
                <wp:docPr id="2" name="直線單箭頭接點 1"/>
                <wp:cNvGraphicFramePr/>
                <a:graphic xmlns:a="http://schemas.openxmlformats.org/drawingml/2006/main">
                  <a:graphicData uri="http://schemas.microsoft.com/office/word/2010/wordprocessingShape">
                    <wps:wsp>
                      <wps:cNvCnPr/>
                      <wps:spPr>
                        <a:xfrm>
                          <a:off x="0" y="0"/>
                          <a:ext cx="353695" cy="635"/>
                        </a:xfrm>
                        <a:prstGeom prst="straightConnector1">
                          <a:avLst/>
                        </a:prstGeom>
                        <a:ln w="9525" cap="flat" cmpd="sng">
                          <a:solidFill>
                            <a:srgbClr val="000000"/>
                          </a:solidFill>
                          <a:prstDash val="solid"/>
                          <a:round/>
                          <a:headEnd type="none" w="med" len="med"/>
                          <a:tailEnd type="none" w="med" len="med"/>
                        </a:ln>
                      </wps:spPr>
                      <wps:bodyPr upright="0"/>
                    </wps:wsp>
                  </a:graphicData>
                </a:graphic>
              </wp:anchor>
            </w:drawing>
          </mc:Choice>
          <mc:Fallback>
            <w:pict>
              <v:shape id="直線單箭頭接點 1" o:spid="_x0000_s1026" o:spt="32" type="#_x0000_t32" style="position:absolute;left:0pt;margin-left:-37.8pt;margin-top:38.8pt;height:0.05pt;width:27.85pt;z-index:251659264;mso-width-relative:page;mso-height-relative:page;" filled="f" stroked="t" coordsize="21600,21600" o:gfxdata="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ZdCd1wAAAAkBAAAPAAAAAAAAAAEAIAAAACIAAABkcnMvZG93bnJldi54bWxQSwECFAAU&#10;AAAACACHTuJAuHT43PIBAAC1AwAADgAAAAAAAAABACAAAAAmAQAAZHJzL2Uyb0RvYy54bWxQSwUG&#10;AAAAAAYABgBZAQAAigUAAAAA&#10;">
                <v:fill on="f" focussize="0,0"/>
                <v:stroke color="#000000" joinstyle="round"/>
                <v:imagedata o:title=""/>
                <o:lock v:ext="edit" aspectratio="f"/>
              </v:shape>
            </w:pict>
          </mc:Fallback>
        </mc:AlternateContent>
      </w:r>
      <w:r>
        <w:rPr>
          <w:rFonts w:ascii="Times New Roman" w:hAnsi="Times New Roman" w:eastAsia="PMingLiU" w:cs="Times New Roman"/>
          <w:spacing w:val="20"/>
          <w:kern w:val="2"/>
          <w:sz w:val="24"/>
          <w:szCs w:val="24"/>
          <w:u w:val="none" w:color="FFFFFF"/>
          <w:lang w:val="en-US" w:eastAsia="zh-TW" w:bidi="ar-SA"/>
        </w:rPr>
        <mc:AlternateContent>
          <mc:Choice Requires="wps">
            <w:drawing>
              <wp:anchor distT="0" distB="0" distL="114300" distR="114300" simplePos="0" relativeHeight="251658240" behindDoc="0" locked="0" layoutInCell="1" allowOverlap="1">
                <wp:simplePos x="0" y="0"/>
                <wp:positionH relativeFrom="column">
                  <wp:posOffset>-480060</wp:posOffset>
                </wp:positionH>
                <wp:positionV relativeFrom="paragraph">
                  <wp:posOffset>309245</wp:posOffset>
                </wp:positionV>
                <wp:extent cx="353695" cy="635"/>
                <wp:effectExtent l="0" t="0" r="0" b="0"/>
                <wp:wrapNone/>
                <wp:docPr id="1" name="直線單箭頭接點 2"/>
                <wp:cNvGraphicFramePr/>
                <a:graphic xmlns:a="http://schemas.openxmlformats.org/drawingml/2006/main">
                  <a:graphicData uri="http://schemas.microsoft.com/office/word/2010/wordprocessingShape">
                    <wps:wsp>
                      <wps:cNvCnPr/>
                      <wps:spPr>
                        <a:xfrm>
                          <a:off x="0" y="0"/>
                          <a:ext cx="353695" cy="635"/>
                        </a:xfrm>
                        <a:prstGeom prst="straightConnector1">
                          <a:avLst/>
                        </a:prstGeom>
                        <a:ln w="9525" cap="flat" cmpd="sng">
                          <a:solidFill>
                            <a:srgbClr val="000000"/>
                          </a:solidFill>
                          <a:prstDash val="solid"/>
                          <a:round/>
                          <a:headEnd type="none" w="med" len="med"/>
                          <a:tailEnd type="none" w="med" len="med"/>
                        </a:ln>
                      </wps:spPr>
                      <wps:bodyPr upright="0"/>
                    </wps:wsp>
                  </a:graphicData>
                </a:graphic>
              </wp:anchor>
            </w:drawing>
          </mc:Choice>
          <mc:Fallback>
            <w:pict>
              <v:shape id="直線單箭頭接點 2" o:spid="_x0000_s1026" o:spt="32" type="#_x0000_t32" style="position:absolute;left:0pt;margin-left:-37.8pt;margin-top:24.35pt;height:0.05pt;width:27.85pt;z-index:251658240;mso-width-relative:page;mso-height-relative:page;" filled="f" stroked="t" coordsize="21600,21600" o:gfxdata="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RHC6dgAAAAJAQAADwAAAAAAAAABACAAAAAiAAAAZHJzL2Rvd25yZXYueG1sUEsBAhQA&#10;FAAAAAgAh07iQIztD/PyAQAAtQMAAA4AAAAAAAAAAQAgAAAAJwEAAGRycy9lMm9Eb2MueG1sUEsF&#10;BgAAAAAGAAYAWQEAAIsFAAAAAA==&#10;">
                <v:fill on="f" focussize="0,0"/>
                <v:stroke color="#000000" joinstyle="round"/>
                <v:imagedata o:title=""/>
                <o:lock v:ext="edit" aspectratio="f"/>
              </v:shape>
            </w:pict>
          </mc:Fallback>
        </mc:AlternateContent>
      </w:r>
      <w:r>
        <w:rPr>
          <w:spacing w:val="20"/>
        </w:rPr>
        <w:t>201</w:t>
      </w:r>
      <w:r>
        <w:rPr>
          <w:rFonts w:hint="eastAsia"/>
          <w:spacing w:val="20"/>
        </w:rPr>
        <w:t>8</w:t>
      </w:r>
      <w:r>
        <w:rPr>
          <w:rFonts w:hint="eastAsia" w:ascii="Times New Roman" w:hAnsi="Times New Roman"/>
          <w:spacing w:val="20"/>
        </w:rPr>
        <w:t>年是中國改革開放四十周年，本</w:t>
      </w:r>
      <w:r>
        <w:rPr>
          <w:spacing w:val="20"/>
        </w:rPr>
        <w:t>屆</w:t>
      </w:r>
      <w:r>
        <w:rPr>
          <w:rFonts w:hint="eastAsia"/>
          <w:spacing w:val="20"/>
        </w:rPr>
        <w:t>「</w:t>
      </w:r>
      <w:r>
        <w:rPr>
          <w:spacing w:val="20"/>
        </w:rPr>
        <w:t>香港</w:t>
      </w:r>
      <w:r>
        <w:rPr>
          <w:rFonts w:hint="eastAsia"/>
          <w:spacing w:val="20"/>
        </w:rPr>
        <w:t>盃</w:t>
      </w:r>
      <w:r>
        <w:rPr>
          <w:spacing w:val="20"/>
        </w:rPr>
        <w:t>外交知識競賽</w:t>
      </w:r>
      <w:r>
        <w:rPr>
          <w:rFonts w:hint="eastAsia"/>
          <w:spacing w:val="20"/>
        </w:rPr>
        <w:t>」將以</w:t>
      </w:r>
      <w:r>
        <w:rPr>
          <w:rFonts w:hint="eastAsia"/>
          <w:b/>
          <w:spacing w:val="20"/>
        </w:rPr>
        <w:t>「</w:t>
      </w:r>
      <w:r>
        <w:rPr>
          <w:rFonts w:hint="eastAsia" w:ascii="Times New Roman" w:hAnsi="Times New Roman"/>
          <w:b/>
          <w:spacing w:val="20"/>
        </w:rPr>
        <w:t>開放四十年　中國與世界</w:t>
      </w:r>
      <w:r>
        <w:rPr>
          <w:rFonts w:hint="eastAsia"/>
          <w:b/>
          <w:spacing w:val="20"/>
        </w:rPr>
        <w:t>」</w:t>
      </w:r>
      <w:r>
        <w:rPr>
          <w:rFonts w:hint="eastAsia"/>
          <w:spacing w:val="20"/>
        </w:rPr>
        <w:t>為主題</w:t>
      </w:r>
      <w:r>
        <w:rPr>
          <w:rFonts w:hint="eastAsia" w:hAnsi="PMingLiU"/>
          <w:spacing w:val="20"/>
        </w:rPr>
        <w:t>。</w:t>
      </w:r>
      <w:r>
        <w:rPr>
          <w:rFonts w:hint="eastAsia"/>
          <w:spacing w:val="20"/>
        </w:rPr>
        <w:t>活動日程請參閱</w:t>
      </w:r>
      <w:r>
        <w:rPr>
          <w:rFonts w:hint="eastAsia"/>
          <w:b/>
          <w:spacing w:val="20"/>
          <w:u w:val="single"/>
        </w:rPr>
        <w:t>附件一</w:t>
      </w:r>
      <w:r>
        <w:rPr>
          <w:rFonts w:hint="eastAsia"/>
          <w:spacing w:val="20"/>
        </w:rPr>
        <w:t>，比賽規則請參閱</w:t>
      </w:r>
      <w:r>
        <w:rPr>
          <w:rFonts w:hint="eastAsia"/>
          <w:b/>
          <w:spacing w:val="20"/>
          <w:u w:val="single"/>
        </w:rPr>
        <w:t>附件二</w:t>
      </w:r>
      <w:r>
        <w:rPr>
          <w:spacing w:val="20"/>
        </w:rPr>
        <w:t>。</w:t>
      </w:r>
    </w:p>
    <w:p>
      <w:pPr>
        <w:pStyle w:val="23"/>
        <w:tabs>
          <w:tab w:val="left" w:pos="709"/>
        </w:tabs>
        <w:adjustRightInd w:val="0"/>
        <w:snapToGrid w:val="0"/>
        <w:ind w:left="0" w:leftChars="0"/>
        <w:jc w:val="both"/>
        <w:rPr>
          <w:spacing w:val="20"/>
        </w:rPr>
      </w:pPr>
    </w:p>
    <w:p>
      <w:pPr>
        <w:pStyle w:val="23"/>
        <w:numPr>
          <w:ilvl w:val="0"/>
          <w:numId w:val="1"/>
        </w:numPr>
        <w:tabs>
          <w:tab w:val="left" w:pos="709"/>
        </w:tabs>
        <w:adjustRightInd w:val="0"/>
        <w:snapToGrid w:val="0"/>
        <w:ind w:left="0" w:leftChars="0" w:firstLine="0"/>
        <w:jc w:val="both"/>
        <w:rPr>
          <w:spacing w:val="20"/>
        </w:rPr>
      </w:pPr>
      <w:r>
        <w:rPr>
          <w:rFonts w:ascii="Times New Roman" w:hAnsi="Times New Roman" w:eastAsia="PMingLiU" w:cs="Times New Roman"/>
          <w:spacing w:val="20"/>
          <w:kern w:val="2"/>
          <w:sz w:val="24"/>
          <w:szCs w:val="24"/>
          <w:u w:val="none" w:color="FFFFFF"/>
          <w:lang w:val="en-US" w:eastAsia="zh-TW" w:bidi="ar-SA"/>
        </w:rPr>
        <mc:AlternateContent>
          <mc:Choice Requires="wps">
            <w:drawing>
              <wp:anchor distT="0" distB="0" distL="114300" distR="114300" simplePos="0" relativeHeight="251661312" behindDoc="0" locked="0" layoutInCell="1" allowOverlap="1">
                <wp:simplePos x="0" y="0"/>
                <wp:positionH relativeFrom="column">
                  <wp:posOffset>-480060</wp:posOffset>
                </wp:positionH>
                <wp:positionV relativeFrom="paragraph">
                  <wp:posOffset>495300</wp:posOffset>
                </wp:positionV>
                <wp:extent cx="353695" cy="635"/>
                <wp:effectExtent l="0" t="0" r="0" b="0"/>
                <wp:wrapNone/>
                <wp:docPr id="4" name="直線單箭頭接點 5"/>
                <wp:cNvGraphicFramePr/>
                <a:graphic xmlns:a="http://schemas.openxmlformats.org/drawingml/2006/main">
                  <a:graphicData uri="http://schemas.microsoft.com/office/word/2010/wordprocessingShape">
                    <wps:wsp>
                      <wps:cNvCnPr/>
                      <wps:spPr>
                        <a:xfrm>
                          <a:off x="0" y="0"/>
                          <a:ext cx="353695" cy="635"/>
                        </a:xfrm>
                        <a:prstGeom prst="straightConnector1">
                          <a:avLst/>
                        </a:prstGeom>
                        <a:ln w="9525" cap="flat" cmpd="sng">
                          <a:solidFill>
                            <a:srgbClr val="000000"/>
                          </a:solidFill>
                          <a:prstDash val="solid"/>
                          <a:round/>
                          <a:headEnd type="none" w="med" len="med"/>
                          <a:tailEnd type="none" w="med" len="med"/>
                        </a:ln>
                      </wps:spPr>
                      <wps:bodyPr upright="0"/>
                    </wps:wsp>
                  </a:graphicData>
                </a:graphic>
              </wp:anchor>
            </w:drawing>
          </mc:Choice>
          <mc:Fallback>
            <w:pict>
              <v:shape id="直線單箭頭接點 5" o:spid="_x0000_s1026" o:spt="32" type="#_x0000_t32" style="position:absolute;left:0pt;margin-left:-37.8pt;margin-top:39pt;height:0.05pt;width:27.85pt;z-index:251661312;mso-width-relative:page;mso-height-relative:page;" filled="f" stroked="t" coordsize="21600,21600" o:gfxdata="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S3HXdgAAAAJAQAADwAAAAAAAAABACAAAAAiAAAAZHJzL2Rvd25yZXYueG1sUEsB&#10;AhQAFAAAAAgAh07iQA4SrWP1AQAAtQMAAA4AAAAAAAAAAQAgAAAAJwEAAGRycy9lMm9Eb2MueG1s&#10;UEsFBgAAAAAGAAYAWQEAAI4FAAAAAA==&#10;">
                <v:fill on="f" focussize="0,0"/>
                <v:stroke color="#000000" joinstyle="round"/>
                <v:imagedata o:title=""/>
                <o:lock v:ext="edit" aspectratio="f"/>
              </v:shape>
            </w:pict>
          </mc:Fallback>
        </mc:AlternateContent>
      </w:r>
      <w:r>
        <w:rPr>
          <w:rFonts w:hint="eastAsia"/>
          <w:spacing w:val="20"/>
        </w:rPr>
        <w:t>為鼓勵學生學習外交知識，大會特設</w:t>
      </w:r>
      <w:r>
        <w:rPr>
          <w:rFonts w:hint="eastAsia"/>
          <w:b/>
          <w:spacing w:val="20"/>
          <w:u w:val="single"/>
        </w:rPr>
        <w:t>七篇文章</w:t>
      </w:r>
      <w:r>
        <w:rPr>
          <w:rFonts w:hint="eastAsia"/>
          <w:spacing w:val="20"/>
        </w:rPr>
        <w:t>供</w:t>
      </w:r>
      <w:r>
        <w:rPr>
          <w:rFonts w:hint="eastAsia"/>
          <w:b/>
          <w:spacing w:val="20"/>
        </w:rPr>
        <w:t>參賽小學生</w:t>
      </w:r>
      <w:r>
        <w:rPr>
          <w:rFonts w:hint="eastAsia"/>
          <w:spacing w:val="20"/>
        </w:rPr>
        <w:t>參考，還會提供由外交部駐香港特別行政區特派員公署及外交學院編著的</w:t>
      </w:r>
      <w:r>
        <w:rPr>
          <w:rFonts w:hint="eastAsia"/>
          <w:b/>
          <w:spacing w:val="20"/>
          <w:u w:val="single"/>
        </w:rPr>
        <w:t>《中國外交知識讀本》</w:t>
      </w:r>
      <w:r>
        <w:rPr>
          <w:rFonts w:hint="eastAsia"/>
          <w:spacing w:val="20"/>
        </w:rPr>
        <w:t>，請學校填妥</w:t>
      </w:r>
      <w:r>
        <w:rPr>
          <w:rFonts w:hint="eastAsia"/>
          <w:b/>
          <w:spacing w:val="20"/>
          <w:u w:val="single"/>
        </w:rPr>
        <w:t>附錄</w:t>
      </w:r>
      <w:r>
        <w:rPr>
          <w:rFonts w:hint="eastAsia"/>
          <w:spacing w:val="20"/>
        </w:rPr>
        <w:t>向</w:t>
      </w:r>
      <w:r>
        <w:rPr>
          <w:spacing w:val="20"/>
        </w:rPr>
        <w:t>第</w:t>
      </w:r>
      <w:r>
        <w:rPr>
          <w:rFonts w:hint="eastAsia"/>
          <w:spacing w:val="20"/>
        </w:rPr>
        <w:t>十二</w:t>
      </w:r>
      <w:r>
        <w:rPr>
          <w:spacing w:val="20"/>
        </w:rPr>
        <w:t>屆</w:t>
      </w:r>
      <w:r>
        <w:rPr>
          <w:rFonts w:hint="eastAsia"/>
          <w:spacing w:val="20"/>
        </w:rPr>
        <w:t>「</w:t>
      </w:r>
      <w:r>
        <w:rPr>
          <w:spacing w:val="20"/>
        </w:rPr>
        <w:t>香港</w:t>
      </w:r>
      <w:r>
        <w:rPr>
          <w:rFonts w:hint="eastAsia"/>
          <w:spacing w:val="20"/>
        </w:rPr>
        <w:t>盃</w:t>
      </w:r>
      <w:r>
        <w:rPr>
          <w:spacing w:val="20"/>
        </w:rPr>
        <w:t>外交知識競賽</w:t>
      </w:r>
      <w:r>
        <w:rPr>
          <w:rFonts w:hint="eastAsia"/>
          <w:spacing w:val="20"/>
        </w:rPr>
        <w:t>」秘書處（下稱「秘書處」）索取。此外，第十二屆競賽的海報將於2018年1月或以前郵寄至學校，供校內張貼之用。</w:t>
      </w:r>
    </w:p>
    <w:p>
      <w:pPr>
        <w:pStyle w:val="23"/>
        <w:tabs>
          <w:tab w:val="left" w:pos="709"/>
        </w:tabs>
        <w:adjustRightInd w:val="0"/>
        <w:snapToGrid w:val="0"/>
        <w:ind w:left="0" w:leftChars="0"/>
        <w:jc w:val="both"/>
        <w:rPr>
          <w:spacing w:val="20"/>
        </w:rPr>
      </w:pPr>
    </w:p>
    <w:p>
      <w:pPr>
        <w:pStyle w:val="23"/>
        <w:numPr>
          <w:ilvl w:val="0"/>
          <w:numId w:val="1"/>
        </w:numPr>
        <w:tabs>
          <w:tab w:val="left" w:pos="709"/>
        </w:tabs>
        <w:adjustRightInd w:val="0"/>
        <w:snapToGrid w:val="0"/>
        <w:ind w:left="0" w:leftChars="0" w:firstLine="0"/>
        <w:jc w:val="both"/>
        <w:rPr>
          <w:spacing w:val="20"/>
        </w:rPr>
      </w:pPr>
      <w:r>
        <w:rPr>
          <w:rFonts w:hint="eastAsia"/>
          <w:spacing w:val="20"/>
        </w:rPr>
        <w:t>擬提名學生參加</w:t>
      </w:r>
      <w:r>
        <w:rPr>
          <w:spacing w:val="20"/>
        </w:rPr>
        <w:t>外交知識競賽</w:t>
      </w:r>
      <w:r>
        <w:rPr>
          <w:rFonts w:hint="eastAsia"/>
          <w:spacing w:val="20"/>
        </w:rPr>
        <w:t>的學校，可於</w:t>
      </w:r>
      <w:r>
        <w:rPr>
          <w:rFonts w:hint="eastAsia"/>
          <w:spacing w:val="20"/>
          <w:u w:val="single"/>
        </w:rPr>
        <w:t>2017年12月20日</w:t>
      </w:r>
      <w:r>
        <w:rPr>
          <w:rFonts w:hint="eastAsia"/>
          <w:spacing w:val="20"/>
        </w:rPr>
        <w:t>起登入香港教育城網站 (</w:t>
      </w:r>
      <w:r>
        <w:fldChar w:fldCharType="begin"/>
      </w:r>
      <w:r>
        <w:instrText xml:space="preserve">HYPERLINK "http://www.hkedcity.net/registration/edb/" </w:instrText>
      </w:r>
      <w:r>
        <w:fldChar w:fldCharType="separate"/>
      </w:r>
      <w:r>
        <w:rPr>
          <w:rStyle w:val="19"/>
          <w:rFonts w:hint="eastAsia"/>
          <w:spacing w:val="20"/>
        </w:rPr>
        <w:t>http://www.hkedcity.net/registration/edb/</w:t>
      </w:r>
      <w:r>
        <w:fldChar w:fldCharType="end"/>
      </w:r>
      <w:r>
        <w:rPr>
          <w:rFonts w:hint="eastAsia"/>
          <w:spacing w:val="20"/>
        </w:rPr>
        <w:t>)，填妥及提交「參賽提名表」，截止報名日期為</w:t>
      </w:r>
      <w:r>
        <w:rPr>
          <w:rFonts w:hint="eastAsia"/>
          <w:spacing w:val="20"/>
          <w:u w:val="single"/>
        </w:rPr>
        <w:t>201</w:t>
      </w:r>
      <w:r>
        <w:rPr>
          <w:spacing w:val="20"/>
          <w:u w:val="single"/>
        </w:rPr>
        <w:t>8</w:t>
      </w:r>
      <w:r>
        <w:rPr>
          <w:rFonts w:hint="eastAsia"/>
          <w:spacing w:val="20"/>
          <w:u w:val="single"/>
        </w:rPr>
        <w:t>年1月19日（星期五）</w:t>
      </w:r>
      <w:r>
        <w:rPr>
          <w:rFonts w:hint="eastAsia"/>
          <w:spacing w:val="20"/>
        </w:rPr>
        <w:t>。</w:t>
      </w:r>
    </w:p>
    <w:p>
      <w:pPr>
        <w:tabs>
          <w:tab w:val="left" w:pos="851"/>
        </w:tabs>
        <w:adjustRightInd w:val="0"/>
        <w:snapToGrid w:val="0"/>
        <w:jc w:val="both"/>
        <w:rPr>
          <w:spacing w:val="20"/>
        </w:rPr>
      </w:pPr>
    </w:p>
    <w:p>
      <w:pPr>
        <w:adjustRightInd w:val="0"/>
        <w:snapToGrid w:val="0"/>
        <w:jc w:val="both"/>
        <w:rPr>
          <w:b/>
          <w:spacing w:val="20"/>
        </w:rPr>
      </w:pPr>
      <w:r>
        <w:rPr>
          <w:rFonts w:hint="eastAsia"/>
          <w:b/>
          <w:spacing w:val="20"/>
        </w:rPr>
        <w:t>查詢</w:t>
      </w:r>
    </w:p>
    <w:p>
      <w:pPr>
        <w:tabs>
          <w:tab w:val="left" w:pos="720"/>
        </w:tabs>
        <w:adjustRightInd w:val="0"/>
        <w:snapToGrid w:val="0"/>
        <w:jc w:val="both"/>
        <w:rPr>
          <w:spacing w:val="20"/>
          <w:u w:val="none" w:color="FFFFFF"/>
        </w:rPr>
      </w:pPr>
    </w:p>
    <w:p>
      <w:pPr>
        <w:numPr>
          <w:ilvl w:val="0"/>
          <w:numId w:val="1"/>
        </w:numPr>
        <w:tabs>
          <w:tab w:val="left" w:pos="709"/>
        </w:tabs>
        <w:adjustRightInd w:val="0"/>
        <w:snapToGrid w:val="0"/>
        <w:ind w:left="0" w:firstLine="0"/>
        <w:jc w:val="both"/>
        <w:rPr>
          <w:spacing w:val="20"/>
        </w:rPr>
      </w:pPr>
      <w:r>
        <w:rPr>
          <w:rFonts w:hint="eastAsia"/>
          <w:spacing w:val="20"/>
        </w:rPr>
        <w:t>如有競賽方面的查詢，請致電6234 6061與秘書處</w:t>
      </w:r>
      <w:r>
        <w:rPr>
          <w:spacing w:val="20"/>
        </w:rPr>
        <w:t>聯絡</w:t>
      </w:r>
      <w:r>
        <w:rPr>
          <w:rFonts w:hint="eastAsia"/>
          <w:spacing w:val="20"/>
        </w:rPr>
        <w:t>。</w:t>
      </w:r>
      <w:r>
        <w:rPr>
          <w:spacing w:val="20"/>
        </w:rPr>
        <w:t>如需查詢户口或</w:t>
      </w:r>
      <w:r>
        <w:rPr>
          <w:rFonts w:hint="eastAsia"/>
          <w:spacing w:val="20"/>
        </w:rPr>
        <w:t>提交表格方面的</w:t>
      </w:r>
      <w:r>
        <w:rPr>
          <w:spacing w:val="20"/>
        </w:rPr>
        <w:t>技術問題，請致電2624 1000</w:t>
      </w:r>
      <w:r>
        <w:rPr>
          <w:rFonts w:hint="eastAsia"/>
          <w:spacing w:val="20"/>
        </w:rPr>
        <w:t>與香港教育城聯絡。</w:t>
      </w:r>
    </w:p>
    <w:p>
      <w:pPr>
        <w:tabs>
          <w:tab w:val="left" w:pos="709"/>
        </w:tabs>
        <w:adjustRightInd w:val="0"/>
        <w:snapToGrid w:val="0"/>
        <w:jc w:val="both"/>
        <w:rPr>
          <w:spacing w:val="20"/>
        </w:rPr>
      </w:pPr>
    </w:p>
    <w:tbl>
      <w:tblPr>
        <w:tblStyle w:val="20"/>
        <w:tblW w:w="953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31"/>
        <w:gridCol w:w="5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31" w:type="dxa"/>
            <w:vAlign w:val="top"/>
          </w:tcPr>
          <w:p>
            <w:pPr>
              <w:adjustRightInd w:val="0"/>
              <w:snapToGrid w:val="0"/>
              <w:ind w:left="-108" w:leftChars="-45"/>
              <w:jc w:val="both"/>
              <w:rPr>
                <w:spacing w:val="20"/>
                <w:u w:val="none" w:color="FFFFFF"/>
              </w:rPr>
            </w:pPr>
          </w:p>
        </w:tc>
        <w:tc>
          <w:tcPr>
            <w:tcW w:w="5199" w:type="dxa"/>
            <w:vAlign w:val="top"/>
          </w:tcPr>
          <w:p>
            <w:pPr>
              <w:adjustRightInd w:val="0"/>
              <w:snapToGrid w:val="0"/>
              <w:spacing w:before="180" w:beforeLines="50"/>
              <w:ind w:left="398" w:leftChars="166"/>
              <w:jc w:val="center"/>
              <w:rPr>
                <w:spacing w:val="20"/>
              </w:rPr>
            </w:pPr>
            <w:r>
              <w:rPr>
                <w:rFonts w:hint="eastAsia"/>
                <w:spacing w:val="20"/>
              </w:rPr>
              <w:t>教育局局長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31" w:type="dxa"/>
            <w:vAlign w:val="top"/>
          </w:tcPr>
          <w:p>
            <w:pPr>
              <w:adjustRightInd w:val="0"/>
              <w:snapToGrid w:val="0"/>
              <w:ind w:left="-108" w:leftChars="-45"/>
              <w:jc w:val="both"/>
              <w:rPr>
                <w:spacing w:val="20"/>
                <w:u w:val="none" w:color="FFFFFF"/>
              </w:rPr>
            </w:pPr>
          </w:p>
        </w:tc>
        <w:tc>
          <w:tcPr>
            <w:tcW w:w="5199" w:type="dxa"/>
            <w:vAlign w:val="top"/>
          </w:tcPr>
          <w:p>
            <w:pPr>
              <w:adjustRightInd w:val="0"/>
              <w:snapToGrid w:val="0"/>
              <w:spacing w:before="180" w:beforeLines="50"/>
              <w:ind w:left="398" w:leftChars="166"/>
              <w:jc w:val="center"/>
              <w:rPr>
                <w:spacing w:val="20"/>
              </w:rPr>
            </w:pPr>
            <w:r>
              <w:rPr>
                <w:spacing w:val="20"/>
              </w:rPr>
              <w:tab/>
            </w:r>
            <w:r>
              <w:rPr>
                <w:rFonts w:hint="eastAsia"/>
                <w:spacing w:val="20"/>
              </w:rPr>
              <w:t>林寶玉</w:t>
            </w:r>
            <w:r>
              <w:rPr>
                <w:spacing w:val="20"/>
              </w:rPr>
              <w:t>代行</w:t>
            </w:r>
          </w:p>
        </w:tc>
      </w:tr>
    </w:tbl>
    <w:p>
      <w:pPr>
        <w:adjustRightInd w:val="0"/>
        <w:snapToGrid w:val="0"/>
        <w:jc w:val="both"/>
        <w:rPr>
          <w:spacing w:val="20"/>
        </w:rPr>
      </w:pPr>
      <w:r>
        <w:rPr>
          <w:spacing w:val="20"/>
        </w:rPr>
        <w:t>二零一</w:t>
      </w:r>
      <w:r>
        <w:rPr>
          <w:rFonts w:hint="eastAsia"/>
          <w:spacing w:val="20"/>
        </w:rPr>
        <w:t>七</w:t>
      </w:r>
      <w:r>
        <w:rPr>
          <w:spacing w:val="20"/>
        </w:rPr>
        <w:t>年</w:t>
      </w:r>
      <w:r>
        <w:rPr>
          <w:rFonts w:hint="eastAsia"/>
          <w:spacing w:val="20"/>
        </w:rPr>
        <w:t>十二月十三日</w:t>
      </w:r>
    </w:p>
    <w:p>
      <w:pPr>
        <w:widowControl/>
        <w:rPr>
          <w:rFonts w:hAnsi="PMingLiU"/>
          <w:b/>
          <w:spacing w:val="20"/>
        </w:rPr>
      </w:pPr>
      <w:r>
        <w:rPr>
          <w:rFonts w:hAnsi="PMingLiU"/>
          <w:b/>
          <w:spacing w:val="20"/>
        </w:rPr>
        <w:br w:type="page"/>
      </w:r>
    </w:p>
    <w:p>
      <w:pPr>
        <w:widowControl/>
        <w:jc w:val="right"/>
        <w:rPr>
          <w:b/>
          <w:spacing w:val="20"/>
        </w:rPr>
      </w:pPr>
      <w:r>
        <w:rPr>
          <w:rFonts w:hint="eastAsia" w:hAnsi="PMingLiU"/>
          <w:b/>
          <w:spacing w:val="20"/>
        </w:rPr>
        <w:t>附件</w:t>
      </w:r>
      <w:r>
        <w:rPr>
          <w:rFonts w:hint="eastAsia"/>
          <w:b/>
          <w:spacing w:val="20"/>
        </w:rPr>
        <w:t>一</w:t>
      </w:r>
    </w:p>
    <w:p>
      <w:pPr>
        <w:adjustRightInd w:val="0"/>
        <w:snapToGrid w:val="0"/>
        <w:ind w:left="120" w:leftChars="50"/>
        <w:jc w:val="center"/>
        <w:rPr>
          <w:b/>
        </w:rPr>
      </w:pPr>
    </w:p>
    <w:p>
      <w:pPr>
        <w:adjustRightInd w:val="0"/>
        <w:snapToGrid w:val="0"/>
        <w:jc w:val="center"/>
        <w:rPr>
          <w:b/>
          <w:spacing w:val="20"/>
        </w:rPr>
      </w:pPr>
      <w:r>
        <w:rPr>
          <w:rFonts w:hAnsi="PMingLiU"/>
          <w:b/>
          <w:spacing w:val="20"/>
        </w:rPr>
        <w:t>第</w:t>
      </w:r>
      <w:r>
        <w:rPr>
          <w:rFonts w:hint="eastAsia" w:hAnsi="PMingLiU"/>
          <w:b/>
          <w:spacing w:val="20"/>
        </w:rPr>
        <w:t>十二</w:t>
      </w:r>
      <w:r>
        <w:rPr>
          <w:rFonts w:hAnsi="PMingLiU"/>
          <w:b/>
          <w:spacing w:val="20"/>
        </w:rPr>
        <w:t>屆</w:t>
      </w:r>
      <w:r>
        <w:rPr>
          <w:rFonts w:hint="eastAsia"/>
          <w:b/>
          <w:spacing w:val="20"/>
        </w:rPr>
        <w:t>「香港盃外交知識競賽」</w:t>
      </w:r>
    </w:p>
    <w:p>
      <w:pPr>
        <w:adjustRightInd w:val="0"/>
        <w:snapToGrid w:val="0"/>
        <w:jc w:val="center"/>
        <w:rPr>
          <w:rFonts w:hAnsi="PMingLiU"/>
          <w:b/>
          <w:spacing w:val="20"/>
        </w:rPr>
      </w:pPr>
    </w:p>
    <w:p>
      <w:pPr>
        <w:adjustRightInd w:val="0"/>
        <w:snapToGrid w:val="0"/>
        <w:jc w:val="center"/>
        <w:rPr>
          <w:rFonts w:hAnsi="PMingLiU"/>
          <w:b/>
          <w:spacing w:val="20"/>
        </w:rPr>
      </w:pPr>
      <w:r>
        <w:rPr>
          <w:rFonts w:hint="eastAsia" w:hAnsi="PMingLiU"/>
          <w:b/>
          <w:spacing w:val="20"/>
        </w:rPr>
        <w:t>活動日程</w:t>
      </w:r>
    </w:p>
    <w:p>
      <w:pPr>
        <w:adjustRightInd w:val="0"/>
        <w:snapToGrid w:val="0"/>
        <w:ind w:left="120" w:leftChars="50"/>
        <w:rPr>
          <w:u w:val="single"/>
        </w:rPr>
      </w:pPr>
    </w:p>
    <w:tbl>
      <w:tblPr>
        <w:tblStyle w:val="20"/>
        <w:tblW w:w="9715"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4"/>
        <w:gridCol w:w="66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shd w:val="clear" w:color="auto" w:fill="D9D9D9"/>
            <w:vAlign w:val="top"/>
          </w:tcPr>
          <w:p>
            <w:pPr>
              <w:adjustRightInd w:val="0"/>
              <w:snapToGrid w:val="0"/>
              <w:spacing w:before="180" w:beforeLines="50"/>
              <w:jc w:val="center"/>
              <w:rPr>
                <w:spacing w:val="20"/>
              </w:rPr>
            </w:pPr>
            <w:r>
              <w:rPr>
                <w:rFonts w:hint="eastAsia" w:hAnsi="PMingLiU"/>
                <w:spacing w:val="20"/>
              </w:rPr>
              <w:t>日期</w:t>
            </w:r>
          </w:p>
        </w:tc>
        <w:tc>
          <w:tcPr>
            <w:tcW w:w="6611" w:type="dxa"/>
            <w:shd w:val="clear" w:color="auto" w:fill="D9D9D9"/>
            <w:vAlign w:val="top"/>
          </w:tcPr>
          <w:p>
            <w:pPr>
              <w:adjustRightInd w:val="0"/>
              <w:snapToGrid w:val="0"/>
              <w:spacing w:before="180" w:beforeLines="50"/>
              <w:jc w:val="center"/>
              <w:rPr>
                <w:spacing w:val="20"/>
              </w:rPr>
            </w:pPr>
            <w:r>
              <w:rPr>
                <w:rFonts w:hint="eastAsia" w:hAnsi="PMingLiU"/>
                <w:spacing w:val="20"/>
              </w:rPr>
              <w:t>活動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vAlign w:val="top"/>
          </w:tcPr>
          <w:p>
            <w:pPr>
              <w:adjustRightInd w:val="0"/>
              <w:snapToGrid w:val="0"/>
              <w:spacing w:before="180" w:beforeLines="50"/>
              <w:rPr>
                <w:rFonts w:hAnsi="PMingLiU"/>
                <w:spacing w:val="20"/>
              </w:rPr>
            </w:pPr>
            <w:r>
              <w:rPr>
                <w:rFonts w:hAnsi="PMingLiU"/>
                <w:spacing w:val="20"/>
              </w:rPr>
              <w:t>2017</w:t>
            </w:r>
            <w:r>
              <w:rPr>
                <w:rFonts w:hint="eastAsia" w:hAnsi="PMingLiU"/>
                <w:spacing w:val="20"/>
              </w:rPr>
              <w:t>年12月13日至201</w:t>
            </w:r>
            <w:r>
              <w:rPr>
                <w:rFonts w:hAnsi="PMingLiU"/>
                <w:spacing w:val="20"/>
              </w:rPr>
              <w:t>8</w:t>
            </w:r>
            <w:r>
              <w:rPr>
                <w:rFonts w:hint="eastAsia" w:hAnsi="PMingLiU"/>
                <w:spacing w:val="20"/>
              </w:rPr>
              <w:t>年4月20日（星期五）</w:t>
            </w:r>
          </w:p>
        </w:tc>
        <w:tc>
          <w:tcPr>
            <w:tcW w:w="6611" w:type="dxa"/>
            <w:vAlign w:val="top"/>
          </w:tcPr>
          <w:p>
            <w:pPr>
              <w:adjustRightInd w:val="0"/>
              <w:snapToGrid w:val="0"/>
              <w:spacing w:before="180" w:beforeLines="50" w:after="180" w:afterLines="50"/>
              <w:jc w:val="both"/>
              <w:rPr>
                <w:rFonts w:hAnsi="PMingLiU"/>
                <w:spacing w:val="20"/>
              </w:rPr>
            </w:pPr>
            <w:r>
              <w:rPr>
                <w:rFonts w:hint="eastAsia" w:hAnsi="PMingLiU"/>
                <w:spacing w:val="20"/>
              </w:rPr>
              <w:t>學校可向秘書處索取由外交部駐香港特別行政區特派員公署及外交學院編著的《中國外交知識讀本》　</w:t>
            </w:r>
            <w:r>
              <w:rPr>
                <w:rFonts w:hint="eastAsia" w:hAnsi="PMingLiU"/>
                <w:b/>
                <w:spacing w:val="20"/>
              </w:rPr>
              <w:t>（</w:t>
            </w:r>
            <w:r>
              <w:rPr>
                <w:rFonts w:hint="eastAsia" w:hAnsi="PMingLiU"/>
                <w:b/>
                <w:spacing w:val="20"/>
                <w:u w:val="single"/>
              </w:rPr>
              <w:t>附錄</w:t>
            </w:r>
            <w:r>
              <w:rPr>
                <w:rFonts w:hint="eastAsia" w:hAnsi="PMingLiU"/>
                <w:b/>
                <w:spacing w:val="20"/>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vAlign w:val="top"/>
          </w:tcPr>
          <w:p>
            <w:pPr>
              <w:adjustRightInd w:val="0"/>
              <w:snapToGrid w:val="0"/>
              <w:spacing w:before="180" w:beforeLines="50"/>
              <w:rPr>
                <w:rFonts w:hAnsi="PMingLiU"/>
                <w:spacing w:val="20"/>
              </w:rPr>
            </w:pPr>
            <w:r>
              <w:rPr>
                <w:rFonts w:hint="eastAsia" w:hAnsi="PMingLiU"/>
                <w:spacing w:val="20"/>
              </w:rPr>
              <w:t>201</w:t>
            </w:r>
            <w:r>
              <w:rPr>
                <w:rFonts w:hAnsi="PMingLiU"/>
                <w:spacing w:val="20"/>
              </w:rPr>
              <w:t>7</w:t>
            </w:r>
            <w:r>
              <w:rPr>
                <w:rFonts w:hint="eastAsia" w:hAnsi="PMingLiU"/>
                <w:spacing w:val="20"/>
              </w:rPr>
              <w:t>年12月20日（星期三）至2018年1月19日（星期五）或以前</w:t>
            </w:r>
          </w:p>
        </w:tc>
        <w:tc>
          <w:tcPr>
            <w:tcW w:w="6611" w:type="dxa"/>
            <w:vAlign w:val="top"/>
          </w:tcPr>
          <w:p>
            <w:pPr>
              <w:adjustRightInd w:val="0"/>
              <w:snapToGrid w:val="0"/>
              <w:spacing w:before="180" w:beforeLines="50" w:after="180" w:afterLines="50"/>
              <w:jc w:val="both"/>
              <w:rPr>
                <w:rFonts w:hAnsi="PMingLiU"/>
                <w:spacing w:val="20"/>
              </w:rPr>
            </w:pPr>
            <w:r>
              <w:rPr>
                <w:rFonts w:hint="eastAsia" w:hAnsi="PMingLiU"/>
                <w:spacing w:val="20"/>
              </w:rPr>
              <w:t>學校透過香港教育城網站(</w:t>
            </w:r>
            <w:r>
              <w:fldChar w:fldCharType="begin"/>
            </w:r>
            <w:r>
              <w:instrText xml:space="preserve">HYPERLINK "http://www.hkedcity.net/registration/edb/" </w:instrText>
            </w:r>
            <w:r>
              <w:fldChar w:fldCharType="separate"/>
            </w:r>
            <w:r>
              <w:rPr>
                <w:rStyle w:val="19"/>
                <w:rFonts w:hAnsi="PMingLiU"/>
                <w:spacing w:val="20"/>
              </w:rPr>
              <w:t>http://www.hkedcity.net/registration/edb/</w:t>
            </w:r>
            <w:r>
              <w:fldChar w:fldCharType="end"/>
            </w:r>
            <w:r>
              <w:rPr>
                <w:rFonts w:hint="eastAsia" w:hAnsi="PMingLiU"/>
                <w:spacing w:val="20"/>
              </w:rPr>
              <w:t>) 提交</w:t>
            </w:r>
            <w:r>
              <w:rPr>
                <w:rFonts w:hAnsi="PMingLiU"/>
                <w:spacing w:val="20"/>
              </w:rPr>
              <w:t>外交知識競賽</w:t>
            </w:r>
            <w:r>
              <w:rPr>
                <w:rFonts w:hint="eastAsia" w:hAnsi="PMingLiU"/>
                <w:spacing w:val="20"/>
              </w:rPr>
              <w:t>參賽提名表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vAlign w:val="top"/>
          </w:tcPr>
          <w:p>
            <w:pPr>
              <w:adjustRightInd w:val="0"/>
              <w:snapToGrid w:val="0"/>
              <w:spacing w:before="180" w:beforeLines="50"/>
              <w:rPr>
                <w:rFonts w:hAnsi="PMingLiU"/>
                <w:spacing w:val="20"/>
              </w:rPr>
            </w:pPr>
            <w:r>
              <w:rPr>
                <w:rFonts w:hint="eastAsia" w:hAnsi="PMingLiU"/>
                <w:spacing w:val="20"/>
              </w:rPr>
              <w:t>2018年2月5日至9日（星期一至五）</w:t>
            </w:r>
          </w:p>
        </w:tc>
        <w:tc>
          <w:tcPr>
            <w:tcW w:w="6611" w:type="dxa"/>
            <w:vAlign w:val="top"/>
          </w:tcPr>
          <w:p>
            <w:pPr>
              <w:adjustRightInd w:val="0"/>
              <w:snapToGrid w:val="0"/>
              <w:spacing w:before="180" w:beforeLines="50" w:after="180" w:afterLines="50"/>
              <w:jc w:val="both"/>
              <w:rPr>
                <w:rFonts w:hAnsi="PMingLiU"/>
                <w:spacing w:val="20"/>
              </w:rPr>
            </w:pPr>
            <w:r>
              <w:rPr>
                <w:rFonts w:hint="eastAsia" w:hAnsi="PMingLiU"/>
                <w:spacing w:val="20"/>
              </w:rPr>
              <w:t>中學組初賽（網上問答比賽）及小學組網上問答比賽測試日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vAlign w:val="top"/>
          </w:tcPr>
          <w:p>
            <w:pPr>
              <w:adjustRightInd w:val="0"/>
              <w:snapToGrid w:val="0"/>
              <w:spacing w:before="180" w:beforeLines="50"/>
              <w:rPr>
                <w:rFonts w:hAnsi="PMingLiU"/>
                <w:spacing w:val="20"/>
              </w:rPr>
            </w:pPr>
            <w:r>
              <w:rPr>
                <w:rFonts w:hint="eastAsia" w:hAnsi="PMingLiU"/>
                <w:spacing w:val="20"/>
              </w:rPr>
              <w:t>201</w:t>
            </w:r>
            <w:r>
              <w:rPr>
                <w:rFonts w:hAnsi="PMingLiU"/>
                <w:spacing w:val="20"/>
              </w:rPr>
              <w:t>8</w:t>
            </w:r>
            <w:r>
              <w:rPr>
                <w:rFonts w:hint="eastAsia" w:hAnsi="PMingLiU"/>
                <w:spacing w:val="20"/>
              </w:rPr>
              <w:t>年2月12日（星期一）起</w:t>
            </w:r>
          </w:p>
        </w:tc>
        <w:tc>
          <w:tcPr>
            <w:tcW w:w="6611" w:type="dxa"/>
            <w:vAlign w:val="top"/>
          </w:tcPr>
          <w:p>
            <w:pPr>
              <w:adjustRightInd w:val="0"/>
              <w:snapToGrid w:val="0"/>
              <w:spacing w:before="180" w:beforeLines="50" w:after="180" w:afterLines="50"/>
              <w:jc w:val="both"/>
              <w:rPr>
                <w:rFonts w:hAnsi="PMingLiU"/>
                <w:spacing w:val="20"/>
              </w:rPr>
            </w:pPr>
            <w:r>
              <w:rPr>
                <w:rFonts w:hint="eastAsia" w:hAnsi="PMingLiU"/>
                <w:spacing w:val="20"/>
              </w:rPr>
              <w:t>大會特設的7篇參考文章，可於競賽網站(</w:t>
            </w:r>
            <w:r>
              <w:fldChar w:fldCharType="begin"/>
            </w:r>
            <w:r>
              <w:instrText xml:space="preserve">HYPERLINK "http://quiz.fmcoprc.gov.hk/chn/" </w:instrText>
            </w:r>
            <w:r>
              <w:fldChar w:fldCharType="separate"/>
            </w:r>
            <w:r>
              <w:rPr>
                <w:rStyle w:val="19"/>
                <w:rFonts w:hAnsi="PMingLiU"/>
                <w:spacing w:val="20"/>
              </w:rPr>
              <w:t>http://quiz.fmcoprc.gov.hk/chn/</w:t>
            </w:r>
            <w:r>
              <w:fldChar w:fldCharType="end"/>
            </w:r>
            <w:r>
              <w:rPr>
                <w:rFonts w:hint="eastAsia" w:hAnsi="PMingLiU"/>
                <w:spacing w:val="20"/>
              </w:rPr>
              <w:t>) 下載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vAlign w:val="top"/>
          </w:tcPr>
          <w:p>
            <w:pPr>
              <w:adjustRightInd w:val="0"/>
              <w:snapToGrid w:val="0"/>
              <w:spacing w:before="180" w:beforeLines="50"/>
              <w:jc w:val="both"/>
              <w:rPr>
                <w:rFonts w:hAnsi="PMingLiU" w:eastAsia="宋体"/>
                <w:spacing w:val="20"/>
                <w:lang w:eastAsia="zh-CN"/>
              </w:rPr>
            </w:pPr>
            <w:r>
              <w:rPr>
                <w:rFonts w:hint="eastAsia" w:hAnsi="PMingLiU"/>
                <w:spacing w:val="20"/>
              </w:rPr>
              <w:t>2018年2月26日（星期一）至</w:t>
            </w:r>
            <w:r>
              <w:rPr>
                <w:rFonts w:hAnsi="PMingLiU"/>
                <w:spacing w:val="20"/>
              </w:rPr>
              <w:br w:type="textWrapping"/>
            </w:r>
            <w:r>
              <w:rPr>
                <w:rFonts w:hint="eastAsia" w:hAnsi="PMingLiU"/>
                <w:spacing w:val="20"/>
              </w:rPr>
              <w:t>3月13日（星期二）</w:t>
            </w:r>
          </w:p>
          <w:p>
            <w:pPr>
              <w:adjustRightInd w:val="0"/>
              <w:snapToGrid w:val="0"/>
              <w:spacing w:before="180" w:beforeLines="50" w:after="180" w:afterLines="50"/>
              <w:rPr>
                <w:rFonts w:hAnsi="PMingLiU"/>
                <w:spacing w:val="20"/>
              </w:rPr>
            </w:pPr>
            <w:r>
              <w:rPr>
                <w:rFonts w:hint="eastAsia" w:hAnsi="PMingLiU"/>
                <w:spacing w:val="20"/>
              </w:rPr>
              <w:t>（星期六、日除外）</w:t>
            </w:r>
          </w:p>
        </w:tc>
        <w:tc>
          <w:tcPr>
            <w:tcW w:w="6611" w:type="dxa"/>
            <w:vAlign w:val="top"/>
          </w:tcPr>
          <w:p>
            <w:pPr>
              <w:adjustRightInd w:val="0"/>
              <w:snapToGrid w:val="0"/>
              <w:spacing w:before="180" w:beforeLines="50"/>
              <w:jc w:val="both"/>
              <w:rPr>
                <w:rFonts w:hAnsi="PMingLiU"/>
                <w:spacing w:val="20"/>
              </w:rPr>
            </w:pPr>
            <w:r>
              <w:rPr>
                <w:rFonts w:hint="eastAsia" w:hAnsi="PMingLiU"/>
                <w:spacing w:val="20"/>
              </w:rPr>
              <w:t>中學組初賽（網上問答比賽）及小學組網上問答比賽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jc w:val="center"/>
        </w:trPr>
        <w:tc>
          <w:tcPr>
            <w:tcW w:w="3104" w:type="dxa"/>
            <w:vAlign w:val="top"/>
          </w:tcPr>
          <w:p>
            <w:pPr>
              <w:adjustRightInd w:val="0"/>
              <w:snapToGrid w:val="0"/>
              <w:spacing w:before="180" w:beforeLines="50"/>
              <w:rPr>
                <w:rFonts w:hAnsi="PMingLiU"/>
                <w:spacing w:val="20"/>
              </w:rPr>
            </w:pPr>
            <w:r>
              <w:rPr>
                <w:rFonts w:hint="eastAsia" w:hAnsi="PMingLiU"/>
                <w:spacing w:val="20"/>
              </w:rPr>
              <w:t>2018年3月23日</w:t>
            </w:r>
            <w:r>
              <w:rPr>
                <w:rFonts w:hAnsi="PMingLiU"/>
                <w:spacing w:val="20"/>
              </w:rPr>
              <w:br w:type="textWrapping"/>
            </w:r>
            <w:r>
              <w:rPr>
                <w:rFonts w:hint="eastAsia" w:hAnsi="PMingLiU"/>
                <w:spacing w:val="20"/>
              </w:rPr>
              <w:t>（星期五）或以前</w:t>
            </w:r>
          </w:p>
        </w:tc>
        <w:tc>
          <w:tcPr>
            <w:tcW w:w="6611" w:type="dxa"/>
            <w:vAlign w:val="top"/>
          </w:tcPr>
          <w:p>
            <w:pPr>
              <w:adjustRightInd w:val="0"/>
              <w:snapToGrid w:val="0"/>
              <w:spacing w:before="180" w:beforeLines="50" w:after="180" w:afterLines="50"/>
              <w:jc w:val="both"/>
              <w:rPr>
                <w:rFonts w:hAnsi="PMingLiU"/>
                <w:spacing w:val="20"/>
              </w:rPr>
            </w:pPr>
            <w:r>
              <w:rPr>
                <w:rFonts w:hint="eastAsia" w:hAnsi="PMingLiU"/>
                <w:spacing w:val="20"/>
              </w:rPr>
              <w:t>於競賽網站 (</w:t>
            </w:r>
            <w:r>
              <w:fldChar w:fldCharType="begin"/>
            </w:r>
            <w:r>
              <w:instrText xml:space="preserve">HYPERLINK "http://quiz.fmcoprc.gov.hk/" </w:instrText>
            </w:r>
            <w:r>
              <w:fldChar w:fldCharType="separate"/>
            </w:r>
            <w:r>
              <w:rPr>
                <w:rStyle w:val="19"/>
                <w:rFonts w:hAnsi="PMingLiU"/>
                <w:spacing w:val="20"/>
              </w:rPr>
              <w:t>http://quiz.fmcoprc.gov.hk</w:t>
            </w:r>
            <w:r>
              <w:fldChar w:fldCharType="end"/>
            </w:r>
            <w:r>
              <w:rPr>
                <w:rFonts w:hint="eastAsia" w:hAnsi="PMingLiU"/>
                <w:spacing w:val="20"/>
              </w:rPr>
              <w:t>) 及薪火相傳平台網站 (</w:t>
            </w:r>
            <w:r>
              <w:fldChar w:fldCharType="begin"/>
            </w:r>
            <w:r>
              <w:instrText xml:space="preserve">HYPERLINK "http://www.passontorch.org.hk/" </w:instrText>
            </w:r>
            <w:r>
              <w:fldChar w:fldCharType="separate"/>
            </w:r>
            <w:r>
              <w:rPr>
                <w:rStyle w:val="19"/>
                <w:rFonts w:hAnsi="PMingLiU"/>
                <w:spacing w:val="20"/>
              </w:rPr>
              <w:t>http://www.passontorch.org.hk</w:t>
            </w:r>
            <w:r>
              <w:fldChar w:fldCharType="end"/>
            </w:r>
            <w:r>
              <w:rPr>
                <w:rFonts w:hint="eastAsia" w:hAnsi="PMingLiU"/>
                <w:spacing w:val="20"/>
              </w:rPr>
              <w:t>)公布網上問答比賽賽果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vAlign w:val="top"/>
          </w:tcPr>
          <w:p>
            <w:pPr>
              <w:adjustRightInd w:val="0"/>
              <w:snapToGrid w:val="0"/>
              <w:spacing w:before="180" w:beforeLines="50"/>
              <w:rPr>
                <w:rFonts w:hAnsi="PMingLiU"/>
                <w:spacing w:val="20"/>
              </w:rPr>
            </w:pPr>
            <w:r>
              <w:rPr>
                <w:rFonts w:hint="eastAsia" w:hAnsi="PMingLiU"/>
                <w:spacing w:val="20"/>
              </w:rPr>
              <w:t>2018年4月中旬</w:t>
            </w:r>
          </w:p>
        </w:tc>
        <w:tc>
          <w:tcPr>
            <w:tcW w:w="6611" w:type="dxa"/>
            <w:vAlign w:val="top"/>
          </w:tcPr>
          <w:p>
            <w:pPr>
              <w:adjustRightInd w:val="0"/>
              <w:snapToGrid w:val="0"/>
              <w:spacing w:before="180" w:beforeLines="50" w:after="180" w:afterLines="50"/>
              <w:jc w:val="both"/>
              <w:rPr>
                <w:rFonts w:hAnsi="PMingLiU"/>
                <w:spacing w:val="20"/>
              </w:rPr>
            </w:pPr>
            <w:r>
              <w:rPr>
                <w:rFonts w:hint="eastAsia" w:hAnsi="PMingLiU"/>
                <w:spacing w:val="20"/>
              </w:rPr>
              <w:t>外交知識培訓日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vAlign w:val="top"/>
          </w:tcPr>
          <w:p>
            <w:pPr>
              <w:adjustRightInd w:val="0"/>
              <w:snapToGrid w:val="0"/>
              <w:spacing w:before="180" w:beforeLines="50"/>
              <w:rPr>
                <w:rFonts w:hAnsi="PMingLiU"/>
                <w:spacing w:val="20"/>
              </w:rPr>
            </w:pPr>
            <w:r>
              <w:rPr>
                <w:rFonts w:hint="eastAsia" w:hAnsi="PMingLiU"/>
                <w:spacing w:val="20"/>
              </w:rPr>
              <w:t>2018年5月（確實日期容後通知）</w:t>
            </w:r>
          </w:p>
        </w:tc>
        <w:tc>
          <w:tcPr>
            <w:tcW w:w="6611" w:type="dxa"/>
            <w:vAlign w:val="top"/>
          </w:tcPr>
          <w:p>
            <w:pPr>
              <w:adjustRightInd w:val="0"/>
              <w:snapToGrid w:val="0"/>
              <w:spacing w:before="180" w:beforeLines="50" w:after="180" w:afterLines="50"/>
              <w:jc w:val="both"/>
              <w:rPr>
                <w:rFonts w:hAnsi="PMingLiU"/>
                <w:spacing w:val="20"/>
              </w:rPr>
            </w:pPr>
            <w:r>
              <w:rPr>
                <w:rFonts w:hint="eastAsia" w:hAnsi="PMingLiU"/>
                <w:spacing w:val="20"/>
              </w:rPr>
              <w:t>中學組精英</w:t>
            </w:r>
            <w:r>
              <w:rPr>
                <w:rFonts w:hAnsi="PMingLiU"/>
                <w:spacing w:val="20"/>
              </w:rPr>
              <w:t>賽</w:t>
            </w:r>
            <w:r>
              <w:rPr>
                <w:rFonts w:hint="eastAsia" w:hAnsi="PMingLiU"/>
                <w:spacing w:val="20"/>
              </w:rPr>
              <w:t>、先鋒賽及頒獎禮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vAlign w:val="top"/>
          </w:tcPr>
          <w:p>
            <w:pPr>
              <w:adjustRightInd w:val="0"/>
              <w:snapToGrid w:val="0"/>
              <w:spacing w:before="180" w:beforeLines="50"/>
              <w:rPr>
                <w:rFonts w:hAnsi="PMingLiU"/>
                <w:spacing w:val="20"/>
              </w:rPr>
            </w:pPr>
            <w:r>
              <w:rPr>
                <w:rFonts w:hint="eastAsia" w:hAnsi="PMingLiU"/>
                <w:spacing w:val="20"/>
              </w:rPr>
              <w:t>2018年7-8月期間</w:t>
            </w:r>
            <w:r>
              <w:rPr>
                <w:rFonts w:hAnsi="PMingLiU"/>
                <w:spacing w:val="20"/>
              </w:rPr>
              <w:t xml:space="preserve"> </w:t>
            </w:r>
          </w:p>
        </w:tc>
        <w:tc>
          <w:tcPr>
            <w:tcW w:w="6611" w:type="dxa"/>
            <w:vAlign w:val="top"/>
          </w:tcPr>
          <w:p>
            <w:pPr>
              <w:adjustRightInd w:val="0"/>
              <w:snapToGrid w:val="0"/>
              <w:spacing w:before="180" w:beforeLines="50" w:after="180" w:afterLines="50"/>
              <w:jc w:val="both"/>
              <w:rPr>
                <w:rFonts w:hAnsi="PMingLiU"/>
                <w:spacing w:val="20"/>
              </w:rPr>
            </w:pPr>
            <w:r>
              <w:rPr>
                <w:rFonts w:hAnsi="PMingLiU"/>
                <w:spacing w:val="20"/>
              </w:rPr>
              <w:t>外交知識競賽</w:t>
            </w:r>
            <w:r>
              <w:rPr>
                <w:rFonts w:hint="eastAsia" w:hAnsi="PMingLiU"/>
                <w:spacing w:val="20"/>
              </w:rPr>
              <w:t>得獎代表團赴北京及其他城市交流</w:t>
            </w:r>
          </w:p>
        </w:tc>
      </w:tr>
    </w:tbl>
    <w:p>
      <w:pPr>
        <w:adjustRightInd w:val="0"/>
        <w:snapToGrid w:val="0"/>
        <w:ind w:left="120" w:leftChars="50"/>
        <w:jc w:val="right"/>
        <w:rPr>
          <w:b/>
        </w:rPr>
      </w:pPr>
      <w:r>
        <w:rPr>
          <w:b/>
        </w:rPr>
        <w:br w:type="page"/>
      </w:r>
      <w:r>
        <w:rPr>
          <w:rFonts w:hint="eastAsia" w:hAnsi="PMingLiU"/>
          <w:b/>
          <w:spacing w:val="20"/>
        </w:rPr>
        <w:t>附件二</w:t>
      </w:r>
    </w:p>
    <w:p>
      <w:pPr>
        <w:adjustRightInd w:val="0"/>
        <w:snapToGrid w:val="0"/>
        <w:jc w:val="center"/>
        <w:rPr>
          <w:rFonts w:hAnsi="PMingLiU"/>
          <w:b/>
          <w:spacing w:val="20"/>
        </w:rPr>
      </w:pPr>
    </w:p>
    <w:p>
      <w:pPr>
        <w:adjustRightInd w:val="0"/>
        <w:snapToGrid w:val="0"/>
        <w:jc w:val="center"/>
        <w:rPr>
          <w:b/>
          <w:spacing w:val="20"/>
        </w:rPr>
      </w:pPr>
      <w:r>
        <w:rPr>
          <w:rFonts w:hAnsi="PMingLiU"/>
          <w:b/>
          <w:spacing w:val="20"/>
        </w:rPr>
        <w:t>第</w:t>
      </w:r>
      <w:r>
        <w:rPr>
          <w:rFonts w:hint="eastAsia" w:hAnsi="PMingLiU"/>
          <w:b/>
          <w:spacing w:val="20"/>
        </w:rPr>
        <w:t>十二</w:t>
      </w:r>
      <w:r>
        <w:rPr>
          <w:rFonts w:hAnsi="PMingLiU"/>
          <w:b/>
          <w:spacing w:val="20"/>
        </w:rPr>
        <w:t>屆</w:t>
      </w:r>
      <w:r>
        <w:rPr>
          <w:rFonts w:hint="eastAsia"/>
          <w:b/>
          <w:spacing w:val="20"/>
        </w:rPr>
        <w:t>「香港盃外交知識競賽」</w:t>
      </w:r>
    </w:p>
    <w:p>
      <w:pPr>
        <w:adjustRightInd w:val="0"/>
        <w:snapToGrid w:val="0"/>
        <w:jc w:val="center"/>
        <w:rPr>
          <w:b/>
          <w:spacing w:val="20"/>
        </w:rPr>
      </w:pPr>
    </w:p>
    <w:p>
      <w:pPr>
        <w:adjustRightInd w:val="0"/>
        <w:snapToGrid w:val="0"/>
        <w:jc w:val="center"/>
        <w:rPr>
          <w:b/>
          <w:spacing w:val="20"/>
        </w:rPr>
      </w:pPr>
      <w:r>
        <w:rPr>
          <w:rFonts w:hint="eastAsia"/>
          <w:b/>
          <w:spacing w:val="20"/>
        </w:rPr>
        <w:t>外交知識競賽</w:t>
      </w:r>
    </w:p>
    <w:p>
      <w:pPr>
        <w:adjustRightInd w:val="0"/>
        <w:snapToGrid w:val="0"/>
        <w:jc w:val="center"/>
        <w:rPr>
          <w:b/>
          <w:spacing w:val="20"/>
        </w:rPr>
      </w:pPr>
    </w:p>
    <w:p>
      <w:pPr>
        <w:adjustRightInd w:val="0"/>
        <w:snapToGrid w:val="0"/>
        <w:jc w:val="center"/>
        <w:rPr>
          <w:b/>
          <w:spacing w:val="20"/>
        </w:rPr>
      </w:pPr>
      <w:r>
        <w:rPr>
          <w:rFonts w:hint="eastAsia" w:hAnsi="PMingLiU"/>
          <w:b/>
          <w:spacing w:val="20"/>
        </w:rPr>
        <w:t>比賽規則</w:t>
      </w:r>
    </w:p>
    <w:p>
      <w:pPr>
        <w:adjustRightInd w:val="0"/>
        <w:snapToGrid w:val="0"/>
        <w:ind w:left="120" w:leftChars="50"/>
        <w:rPr>
          <w:u w:val="single"/>
        </w:rPr>
      </w:pPr>
    </w:p>
    <w:p>
      <w:pPr>
        <w:adjustRightInd w:val="0"/>
        <w:snapToGrid w:val="0"/>
        <w:rPr>
          <w:rFonts w:hAnsi="PMingLiU" w:eastAsia="宋体"/>
          <w:b/>
          <w:spacing w:val="20"/>
          <w:u w:val="single"/>
        </w:rPr>
      </w:pPr>
      <w:r>
        <w:rPr>
          <w:rFonts w:hint="eastAsia" w:hAnsi="PMingLiU"/>
          <w:b/>
          <w:spacing w:val="20"/>
          <w:u w:val="single"/>
        </w:rPr>
        <w:t>主題</w:t>
      </w:r>
    </w:p>
    <w:p>
      <w:pPr>
        <w:adjustRightInd w:val="0"/>
        <w:snapToGrid w:val="0"/>
        <w:rPr>
          <w:rFonts w:eastAsia="宋体"/>
          <w:b/>
          <w:spacing w:val="20"/>
          <w:u w:val="single"/>
        </w:rPr>
      </w:pPr>
    </w:p>
    <w:p>
      <w:pPr>
        <w:tabs>
          <w:tab w:val="left" w:pos="709"/>
        </w:tabs>
        <w:adjustRightInd w:val="0"/>
        <w:snapToGrid w:val="0"/>
        <w:ind w:left="240" w:leftChars="100"/>
        <w:jc w:val="both"/>
        <w:rPr>
          <w:b/>
          <w:spacing w:val="20"/>
        </w:rPr>
      </w:pPr>
      <w:r>
        <w:rPr>
          <w:rFonts w:hint="eastAsia" w:hAnsi="PMingLiU"/>
          <w:b/>
          <w:spacing w:val="20"/>
        </w:rPr>
        <w:t>「</w:t>
      </w:r>
      <w:r>
        <w:rPr>
          <w:rFonts w:hint="eastAsia" w:ascii="Times New Roman" w:hAnsi="Times New Roman"/>
          <w:b/>
          <w:spacing w:val="20"/>
        </w:rPr>
        <w:t>開放四十年　中國與世界</w:t>
      </w:r>
      <w:r>
        <w:rPr>
          <w:rFonts w:hint="eastAsia" w:hAnsi="PMingLiU"/>
          <w:b/>
          <w:spacing w:val="20"/>
        </w:rPr>
        <w:t>」</w:t>
      </w:r>
    </w:p>
    <w:p>
      <w:pPr>
        <w:adjustRightInd w:val="0"/>
        <w:snapToGrid w:val="0"/>
        <w:ind w:left="120" w:leftChars="50"/>
        <w:rPr>
          <w:u w:val="single"/>
        </w:rPr>
      </w:pPr>
    </w:p>
    <w:p>
      <w:pPr>
        <w:adjustRightInd w:val="0"/>
        <w:snapToGrid w:val="0"/>
        <w:rPr>
          <w:rFonts w:hAnsi="PMingLiU" w:eastAsia="宋体"/>
          <w:b/>
          <w:spacing w:val="20"/>
          <w:u w:val="single"/>
          <w:lang w:eastAsia="zh-CN"/>
        </w:rPr>
      </w:pPr>
      <w:r>
        <w:rPr>
          <w:rFonts w:hAnsi="PMingLiU"/>
          <w:b/>
          <w:spacing w:val="20"/>
          <w:u w:val="single"/>
        </w:rPr>
        <w:t>目的</w:t>
      </w:r>
    </w:p>
    <w:p>
      <w:pPr>
        <w:adjustRightInd w:val="0"/>
        <w:snapToGrid w:val="0"/>
        <w:rPr>
          <w:rFonts w:eastAsia="宋体"/>
          <w:b/>
          <w:spacing w:val="20"/>
          <w:u w:val="single"/>
          <w:lang w:eastAsia="zh-CN"/>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Ansi="PMingLiU"/>
          <w:spacing w:val="20"/>
        </w:rPr>
        <w:t>了</w:t>
      </w:r>
      <w:r>
        <w:rPr>
          <w:rFonts w:hint="eastAsia" w:hAnsi="PMingLiU"/>
          <w:spacing w:val="20"/>
        </w:rPr>
        <w:t>解國家改革開放四十年發展變化及新時代發展的理念、目標和方向。</w:t>
      </w: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spacing w:val="20"/>
        </w:rPr>
        <w:t>探索外交對國家和香港的重要性。</w:t>
      </w: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spacing w:val="20"/>
        </w:rPr>
        <w:t>進一步了解香港回歸與《基本法》的關係。</w:t>
      </w: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spacing w:val="20"/>
        </w:rPr>
        <w:t>從歷史看今天，提升學生對國際形勢及「一帶一路」的興趣和認識。</w:t>
      </w:r>
    </w:p>
    <w:p>
      <w:pPr>
        <w:adjustRightInd w:val="0"/>
        <w:snapToGrid w:val="0"/>
        <w:rPr>
          <w:rFonts w:hAnsi="PMingLiU"/>
          <w:b/>
          <w:spacing w:val="20"/>
          <w:u w:val="single"/>
        </w:rPr>
      </w:pPr>
    </w:p>
    <w:p>
      <w:pPr>
        <w:adjustRightInd w:val="0"/>
        <w:snapToGrid w:val="0"/>
        <w:rPr>
          <w:rFonts w:hAnsi="PMingLiU" w:eastAsia="宋体"/>
          <w:b/>
          <w:spacing w:val="20"/>
          <w:u w:val="single"/>
        </w:rPr>
      </w:pPr>
      <w:r>
        <w:rPr>
          <w:rFonts w:hAnsi="PMingLiU"/>
          <w:b/>
          <w:spacing w:val="20"/>
          <w:u w:val="single"/>
        </w:rPr>
        <w:t>設題範圍</w:t>
      </w:r>
    </w:p>
    <w:p>
      <w:pPr>
        <w:adjustRightInd w:val="0"/>
        <w:snapToGrid w:val="0"/>
        <w:rPr>
          <w:rFonts w:eastAsia="宋体"/>
          <w:b/>
          <w:spacing w:val="20"/>
          <w:u w:val="single"/>
        </w:rPr>
      </w:pPr>
    </w:p>
    <w:tbl>
      <w:tblPr>
        <w:tblStyle w:val="20"/>
        <w:tblW w:w="92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3"/>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3" w:type="dxa"/>
            <w:vAlign w:val="top"/>
          </w:tcPr>
          <w:p>
            <w:pPr>
              <w:adjustRightInd w:val="0"/>
              <w:snapToGrid w:val="0"/>
              <w:jc w:val="center"/>
              <w:rPr>
                <w:rFonts w:ascii="PMingLiU" w:hAnsi="PMingLiU"/>
                <w:spacing w:val="20"/>
              </w:rPr>
            </w:pPr>
            <w:r>
              <w:rPr>
                <w:rFonts w:ascii="PMingLiU" w:hAnsi="PMingLiU"/>
                <w:spacing w:val="20"/>
              </w:rPr>
              <w:t>範疇</w:t>
            </w:r>
          </w:p>
        </w:tc>
        <w:tc>
          <w:tcPr>
            <w:tcW w:w="3790" w:type="dxa"/>
            <w:vAlign w:val="top"/>
          </w:tcPr>
          <w:p>
            <w:pPr>
              <w:adjustRightInd w:val="0"/>
              <w:snapToGrid w:val="0"/>
              <w:jc w:val="center"/>
              <w:rPr>
                <w:rFonts w:ascii="PMingLiU" w:hAnsi="PMingLiU"/>
                <w:spacing w:val="20"/>
              </w:rPr>
            </w:pPr>
            <w:r>
              <w:rPr>
                <w:rFonts w:ascii="PMingLiU" w:hAnsi="PMingLiU"/>
                <w:spacing w:val="20"/>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5493" w:type="dxa"/>
            <w:vAlign w:val="center"/>
          </w:tcPr>
          <w:p>
            <w:pPr>
              <w:adjustRightInd w:val="0"/>
              <w:snapToGrid w:val="0"/>
              <w:jc w:val="both"/>
              <w:rPr>
                <w:rFonts w:ascii="PMingLiU" w:hAnsi="PMingLiU"/>
                <w:spacing w:val="20"/>
              </w:rPr>
            </w:pPr>
            <w:r>
              <w:rPr>
                <w:rFonts w:hint="eastAsia" w:ascii="PMingLiU" w:hAnsi="PMingLiU"/>
                <w:spacing w:val="20"/>
              </w:rPr>
              <w:t>國家外交政策（包括</w:t>
            </w:r>
            <w:r>
              <w:rPr>
                <w:rFonts w:ascii="PMingLiU" w:hAnsi="PMingLiU"/>
                <w:spacing w:val="20"/>
              </w:rPr>
              <w:t>涉港外交</w:t>
            </w:r>
            <w:r>
              <w:rPr>
                <w:rFonts w:hint="eastAsia" w:ascii="PMingLiU" w:hAnsi="PMingLiU"/>
                <w:spacing w:val="20"/>
              </w:rPr>
              <w:t>）、</w:t>
            </w:r>
            <w:r>
              <w:rPr>
                <w:rFonts w:ascii="PMingLiU" w:hAnsi="PMingLiU"/>
                <w:spacing w:val="20"/>
              </w:rPr>
              <w:t>國際時事及國際</w:t>
            </w:r>
            <w:r>
              <w:rPr>
                <w:rFonts w:hint="eastAsia" w:ascii="PMingLiU" w:hAnsi="PMingLiU"/>
                <w:spacing w:val="20"/>
              </w:rPr>
              <w:t>關係、</w:t>
            </w:r>
            <w:r>
              <w:rPr>
                <w:rFonts w:ascii="PMingLiU" w:hAnsi="PMingLiU"/>
                <w:spacing w:val="20"/>
              </w:rPr>
              <w:t>近現代中國外交史</w:t>
            </w:r>
          </w:p>
        </w:tc>
        <w:tc>
          <w:tcPr>
            <w:tcW w:w="3790" w:type="dxa"/>
            <w:vAlign w:val="center"/>
          </w:tcPr>
          <w:p>
            <w:pPr>
              <w:adjustRightInd w:val="0"/>
              <w:snapToGrid w:val="0"/>
              <w:jc w:val="center"/>
              <w:rPr>
                <w:spacing w:val="20"/>
              </w:rPr>
            </w:pPr>
            <w:r>
              <w:rPr>
                <w:rFonts w:hint="eastAsia"/>
                <w:spacing w:val="20"/>
              </w:rPr>
              <w:t>約5</w:t>
            </w:r>
            <w:r>
              <w:rPr>
                <w:spacing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5493" w:type="dxa"/>
            <w:vAlign w:val="center"/>
          </w:tcPr>
          <w:p>
            <w:pPr>
              <w:adjustRightInd w:val="0"/>
              <w:snapToGrid w:val="0"/>
              <w:jc w:val="both"/>
              <w:rPr>
                <w:rFonts w:ascii="PMingLiU" w:hAnsi="PMingLiU"/>
                <w:spacing w:val="20"/>
              </w:rPr>
            </w:pPr>
            <w:r>
              <w:rPr>
                <w:rFonts w:hint="eastAsia" w:ascii="PMingLiU" w:hAnsi="PMingLiU"/>
                <w:spacing w:val="20"/>
              </w:rPr>
              <w:t>中國歷史、文化、國情知識</w:t>
            </w:r>
          </w:p>
        </w:tc>
        <w:tc>
          <w:tcPr>
            <w:tcW w:w="3790" w:type="dxa"/>
            <w:vAlign w:val="center"/>
          </w:tcPr>
          <w:p>
            <w:pPr>
              <w:adjustRightInd w:val="0"/>
              <w:snapToGrid w:val="0"/>
              <w:jc w:val="center"/>
              <w:rPr>
                <w:spacing w:val="20"/>
              </w:rPr>
            </w:pPr>
            <w:r>
              <w:rPr>
                <w:rFonts w:hint="eastAsia"/>
                <w:spacing w:val="20"/>
              </w:rPr>
              <w:t>約</w:t>
            </w:r>
            <w:r>
              <w:rPr>
                <w:spacing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5493" w:type="dxa"/>
            <w:vAlign w:val="center"/>
          </w:tcPr>
          <w:p>
            <w:pPr>
              <w:adjustRightInd w:val="0"/>
              <w:snapToGrid w:val="0"/>
              <w:jc w:val="both"/>
              <w:rPr>
                <w:rFonts w:ascii="PMingLiU" w:hAnsi="PMingLiU"/>
                <w:spacing w:val="20"/>
              </w:rPr>
            </w:pPr>
            <w:r>
              <w:rPr>
                <w:rFonts w:hint="eastAsia" w:ascii="PMingLiU" w:hAnsi="PMingLiU"/>
                <w:spacing w:val="20"/>
              </w:rPr>
              <w:t>基本法、「一帶一路」</w:t>
            </w:r>
          </w:p>
        </w:tc>
        <w:tc>
          <w:tcPr>
            <w:tcW w:w="3790" w:type="dxa"/>
            <w:vAlign w:val="center"/>
          </w:tcPr>
          <w:p>
            <w:pPr>
              <w:adjustRightInd w:val="0"/>
              <w:snapToGrid w:val="0"/>
              <w:jc w:val="center"/>
              <w:rPr>
                <w:spacing w:val="20"/>
              </w:rPr>
            </w:pPr>
            <w:r>
              <w:rPr>
                <w:rFonts w:hint="eastAsia"/>
                <w:spacing w:val="20"/>
              </w:rPr>
              <w:t>約10%</w:t>
            </w:r>
          </w:p>
        </w:tc>
      </w:tr>
    </w:tbl>
    <w:p>
      <w:pPr>
        <w:adjustRightInd w:val="0"/>
        <w:snapToGrid w:val="0"/>
        <w:jc w:val="both"/>
        <w:rPr>
          <w:spacing w:val="20"/>
        </w:rPr>
      </w:pPr>
    </w:p>
    <w:p>
      <w:pPr>
        <w:adjustRightInd w:val="0"/>
        <w:snapToGrid w:val="0"/>
        <w:ind w:left="240" w:leftChars="100"/>
        <w:jc w:val="both"/>
        <w:rPr>
          <w:rFonts w:ascii="PMingLiU" w:hAnsi="PMingLiU"/>
          <w:color w:val="FF0000"/>
          <w:spacing w:val="20"/>
        </w:rPr>
      </w:pPr>
      <w:r>
        <w:rPr>
          <w:rFonts w:hint="eastAsia" w:ascii="PMingLiU" w:hAnsi="PMingLiU"/>
          <w:spacing w:val="20"/>
        </w:rPr>
        <w:t>（部分比賽題目將出自《中國外交知識讀本》及大會特設的</w:t>
      </w:r>
      <w:r>
        <w:rPr>
          <w:spacing w:val="20"/>
        </w:rPr>
        <w:t>7</w:t>
      </w:r>
      <w:r>
        <w:rPr>
          <w:rFonts w:hint="eastAsia" w:ascii="PMingLiU" w:hAnsi="PMingLiU"/>
          <w:spacing w:val="20"/>
        </w:rPr>
        <w:t>篇參考文章）</w:t>
      </w:r>
      <w:r>
        <w:rPr>
          <w:rFonts w:ascii="PMingLiU" w:hAnsi="PMingLiU"/>
          <w:color w:val="FF0000"/>
          <w:spacing w:val="20"/>
        </w:rPr>
        <w:t xml:space="preserve"> </w:t>
      </w:r>
    </w:p>
    <w:p>
      <w:pPr>
        <w:adjustRightInd w:val="0"/>
        <w:snapToGrid w:val="0"/>
        <w:ind w:left="240" w:leftChars="100"/>
        <w:jc w:val="both"/>
        <w:rPr>
          <w:spacing w:val="20"/>
        </w:rPr>
      </w:pPr>
    </w:p>
    <w:p>
      <w:pPr>
        <w:adjustRightInd w:val="0"/>
        <w:snapToGrid w:val="0"/>
        <w:jc w:val="both"/>
        <w:rPr>
          <w:rFonts w:ascii="PMingLiU" w:hAnsi="PMingLiU"/>
          <w:b/>
          <w:spacing w:val="20"/>
          <w:u w:val="single"/>
        </w:rPr>
      </w:pPr>
      <w:r>
        <w:rPr>
          <w:rFonts w:hint="eastAsia" w:ascii="PMingLiU" w:hAnsi="PMingLiU"/>
          <w:b/>
          <w:spacing w:val="20"/>
          <w:u w:val="single"/>
        </w:rPr>
        <w:t>中學組</w:t>
      </w:r>
    </w:p>
    <w:p>
      <w:pPr>
        <w:adjustRightInd w:val="0"/>
        <w:snapToGrid w:val="0"/>
        <w:jc w:val="both"/>
        <w:rPr>
          <w:rFonts w:ascii="PMingLiU" w:hAnsi="PMingLiU"/>
          <w:spacing w:val="20"/>
          <w:u w:val="single"/>
        </w:rPr>
      </w:pPr>
    </w:p>
    <w:p>
      <w:pPr>
        <w:adjustRightInd w:val="0"/>
        <w:snapToGrid w:val="0"/>
        <w:ind w:left="240" w:leftChars="100"/>
        <w:jc w:val="both"/>
        <w:rPr>
          <w:rFonts w:hAnsi="PMingLiU"/>
          <w:spacing w:val="20"/>
        </w:rPr>
      </w:pPr>
      <w:r>
        <w:rPr>
          <w:rFonts w:hint="eastAsia" w:hAnsi="PMingLiU"/>
          <w:spacing w:val="20"/>
        </w:rPr>
        <w:t>中學組比賽包括</w:t>
      </w:r>
      <w:r>
        <w:rPr>
          <w:rFonts w:hint="eastAsia" w:hAnsi="PMingLiU"/>
          <w:spacing w:val="20"/>
          <w:u w:val="single"/>
        </w:rPr>
        <w:t>初賽</w:t>
      </w:r>
      <w:r>
        <w:rPr>
          <w:rFonts w:hint="eastAsia" w:ascii="PMingLiU" w:hAnsi="PMingLiU"/>
          <w:spacing w:val="20"/>
        </w:rPr>
        <w:t>（網上問答比賽）</w:t>
      </w:r>
      <w:r>
        <w:rPr>
          <w:rFonts w:hint="eastAsia" w:hAnsi="PMingLiU"/>
          <w:spacing w:val="20"/>
        </w:rPr>
        <w:t>及</w:t>
      </w:r>
      <w:r>
        <w:rPr>
          <w:rFonts w:hint="eastAsia" w:hAnsi="PMingLiU"/>
          <w:spacing w:val="20"/>
          <w:u w:val="single"/>
        </w:rPr>
        <w:t>決賽</w:t>
      </w:r>
      <w:r>
        <w:rPr>
          <w:rFonts w:hint="eastAsia" w:ascii="PMingLiU" w:hAnsi="PMingLiU"/>
          <w:spacing w:val="20"/>
        </w:rPr>
        <w:t>（精英</w:t>
      </w:r>
      <w:r>
        <w:rPr>
          <w:rFonts w:ascii="PMingLiU" w:hAnsi="PMingLiU"/>
          <w:spacing w:val="20"/>
        </w:rPr>
        <w:t>賽</w:t>
      </w:r>
      <w:r>
        <w:rPr>
          <w:rFonts w:hint="eastAsia" w:ascii="PMingLiU" w:hAnsi="PMingLiU"/>
          <w:spacing w:val="20"/>
        </w:rPr>
        <w:t>、先鋒賽）</w:t>
      </w:r>
      <w:r>
        <w:rPr>
          <w:rFonts w:hint="eastAsia" w:hAnsi="PMingLiU"/>
          <w:spacing w:val="20"/>
        </w:rPr>
        <w:t>。</w:t>
      </w:r>
    </w:p>
    <w:p>
      <w:pPr>
        <w:adjustRightInd w:val="0"/>
        <w:snapToGrid w:val="0"/>
        <w:jc w:val="both"/>
        <w:rPr>
          <w:rFonts w:ascii="PMingLiU" w:hAnsi="PMingLiU" w:eastAsia="宋体"/>
          <w:spacing w:val="20"/>
          <w:lang w:val="en-US"/>
        </w:rPr>
      </w:pPr>
    </w:p>
    <w:p>
      <w:pPr>
        <w:adjustRightInd w:val="0"/>
        <w:snapToGrid w:val="0"/>
        <w:jc w:val="both"/>
        <w:rPr>
          <w:rFonts w:ascii="PMingLiU" w:hAnsi="PMingLiU" w:eastAsia="宋体"/>
          <w:spacing w:val="20"/>
        </w:rPr>
      </w:pPr>
      <w:r>
        <w:rPr>
          <w:rFonts w:hint="eastAsia" w:hAnsi="PMingLiU"/>
          <w:spacing w:val="20"/>
        </w:rPr>
        <w:t>（一）</w:t>
      </w:r>
      <w:r>
        <w:rPr>
          <w:rFonts w:hint="eastAsia" w:ascii="PMingLiU" w:hAnsi="PMingLiU"/>
          <w:spacing w:val="20"/>
        </w:rPr>
        <w:t xml:space="preserve">初賽（網上問答比賽） </w:t>
      </w:r>
    </w:p>
    <w:p>
      <w:pPr>
        <w:adjustRightInd w:val="0"/>
        <w:snapToGrid w:val="0"/>
        <w:jc w:val="both"/>
        <w:rPr>
          <w:rFonts w:ascii="PMingLiU" w:hAnsi="PMingLiU" w:eastAsia="宋体"/>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spacing w:val="20"/>
        </w:rPr>
        <w:t>比賽</w:t>
      </w:r>
      <w:r>
        <w:rPr>
          <w:rFonts w:hAnsi="PMingLiU"/>
          <w:spacing w:val="20"/>
        </w:rPr>
        <w:t>日期</w:t>
      </w:r>
      <w:r>
        <w:rPr>
          <w:rFonts w:hint="eastAsia" w:hAnsi="PMingLiU"/>
          <w:spacing w:val="20"/>
        </w:rPr>
        <w:t>及時間</w:t>
      </w:r>
    </w:p>
    <w:p>
      <w:pPr>
        <w:numPr>
          <w:ilvl w:val="0"/>
          <w:numId w:val="3"/>
        </w:numPr>
        <w:tabs>
          <w:tab w:val="left" w:pos="1134"/>
          <w:tab w:val="clear" w:pos="960"/>
        </w:tabs>
        <w:adjustRightInd w:val="0"/>
        <w:snapToGrid w:val="0"/>
        <w:ind w:left="1134" w:hanging="425"/>
        <w:jc w:val="both"/>
        <w:rPr>
          <w:rFonts w:hAnsi="PMingLiU"/>
          <w:spacing w:val="20"/>
        </w:rPr>
      </w:pPr>
      <w:r>
        <w:rPr>
          <w:rFonts w:hint="eastAsia" w:ascii="PMingLiU" w:hAnsi="PMingLiU"/>
          <w:spacing w:val="20"/>
        </w:rPr>
        <w:t>為方便學校安排學生作賽，大會將提供</w:t>
      </w:r>
      <w:r>
        <w:rPr>
          <w:rFonts w:hint="eastAsia"/>
          <w:spacing w:val="20"/>
        </w:rPr>
        <w:t>12個工作</w:t>
      </w:r>
      <w:r>
        <w:rPr>
          <w:rFonts w:hint="eastAsia" w:ascii="PMingLiU" w:hAnsi="PMingLiU"/>
          <w:spacing w:val="20"/>
        </w:rPr>
        <w:t>天時間予學校選擇。比賽</w:t>
      </w:r>
      <w:r>
        <w:rPr>
          <w:rFonts w:hint="eastAsia" w:hAnsi="PMingLiU"/>
          <w:spacing w:val="20"/>
        </w:rPr>
        <w:t>日期為</w:t>
      </w:r>
      <w:r>
        <w:rPr>
          <w:rFonts w:hint="eastAsia"/>
          <w:spacing w:val="20"/>
          <w:u w:val="single"/>
        </w:rPr>
        <w:t>2018</w:t>
      </w:r>
      <w:r>
        <w:rPr>
          <w:rFonts w:hint="eastAsia" w:hAnsi="PMingLiU"/>
          <w:spacing w:val="20"/>
          <w:u w:val="single"/>
        </w:rPr>
        <w:t>年2月26日（星期一）至3月13日（星期二）（星期六、日除外）</w:t>
      </w:r>
      <w:r>
        <w:rPr>
          <w:rFonts w:hint="eastAsia" w:hAnsi="PMingLiU"/>
          <w:spacing w:val="20"/>
        </w:rPr>
        <w:t>，比賽網站開放時間為上午8:00至下午6:00，惟比賽結束前15分鐘會拒絕參賽學生登入。</w:t>
      </w:r>
    </w:p>
    <w:p>
      <w:pPr>
        <w:numPr>
          <w:ilvl w:val="0"/>
          <w:numId w:val="3"/>
        </w:numPr>
        <w:tabs>
          <w:tab w:val="left" w:pos="1134"/>
          <w:tab w:val="clear" w:pos="960"/>
        </w:tabs>
        <w:adjustRightInd w:val="0"/>
        <w:snapToGrid w:val="0"/>
        <w:ind w:left="1134" w:hanging="425"/>
        <w:jc w:val="both"/>
        <w:rPr>
          <w:rFonts w:ascii="PMingLiU" w:hAnsi="PMingLiU"/>
          <w:spacing w:val="20"/>
        </w:rPr>
      </w:pPr>
      <w:r>
        <w:rPr>
          <w:rFonts w:hint="eastAsia" w:ascii="PMingLiU" w:hAnsi="PMingLiU"/>
          <w:spacing w:val="20"/>
        </w:rPr>
        <w:t>學校可安排所有參賽學生同時作賽或分批作賽。</w:t>
      </w:r>
    </w:p>
    <w:p>
      <w:pPr>
        <w:adjustRightInd w:val="0"/>
        <w:snapToGrid w:val="0"/>
        <w:ind w:left="960"/>
        <w:jc w:val="both"/>
        <w:rPr>
          <w:rFonts w:ascii="PMingLiU"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Ansi="PMingLiU"/>
          <w:spacing w:val="20"/>
        </w:rPr>
        <w:t>參賽</w:t>
      </w:r>
      <w:r>
        <w:rPr>
          <w:rFonts w:hint="eastAsia" w:hAnsi="PMingLiU"/>
          <w:spacing w:val="20"/>
        </w:rPr>
        <w:t>人數</w:t>
      </w:r>
    </w:p>
    <w:p>
      <w:pPr>
        <w:adjustRightInd w:val="0"/>
        <w:snapToGrid w:val="0"/>
        <w:ind w:left="850" w:leftChars="354"/>
        <w:jc w:val="both"/>
        <w:rPr>
          <w:rFonts w:hAnsi="PMingLiU"/>
          <w:spacing w:val="20"/>
        </w:rPr>
      </w:pPr>
      <w:r>
        <w:rPr>
          <w:rFonts w:hint="eastAsia" w:hAnsi="PMingLiU"/>
          <w:spacing w:val="20"/>
        </w:rPr>
        <w:t>中學組每校</w:t>
      </w:r>
      <w:r>
        <w:rPr>
          <w:rFonts w:hAnsi="PMingLiU"/>
          <w:spacing w:val="20"/>
        </w:rPr>
        <w:t>參賽</w:t>
      </w:r>
      <w:r>
        <w:rPr>
          <w:rFonts w:hint="eastAsia" w:hAnsi="PMingLiU"/>
          <w:spacing w:val="20"/>
        </w:rPr>
        <w:t>學生不可少於5人，並最少包括兩名初中學生。</w:t>
      </w:r>
    </w:p>
    <w:p>
      <w:pPr>
        <w:adjustRightInd w:val="0"/>
        <w:snapToGrid w:val="0"/>
        <w:ind w:left="96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spacing w:val="20"/>
        </w:rPr>
        <w:t>比賽細則</w:t>
      </w:r>
    </w:p>
    <w:p>
      <w:pPr>
        <w:numPr>
          <w:ilvl w:val="0"/>
          <w:numId w:val="3"/>
        </w:numPr>
        <w:tabs>
          <w:tab w:val="left" w:pos="1134"/>
          <w:tab w:val="clear" w:pos="960"/>
        </w:tabs>
        <w:adjustRightInd w:val="0"/>
        <w:snapToGrid w:val="0"/>
        <w:ind w:left="1134" w:hanging="425"/>
        <w:jc w:val="both"/>
        <w:rPr>
          <w:rFonts w:ascii="PMingLiU" w:hAnsi="PMingLiU"/>
          <w:spacing w:val="20"/>
        </w:rPr>
      </w:pPr>
      <w:r>
        <w:rPr>
          <w:rFonts w:hint="eastAsia" w:ascii="PMingLiU" w:hAnsi="PMingLiU"/>
          <w:spacing w:val="20"/>
        </w:rPr>
        <w:t>採用網上問答形式進行。</w:t>
      </w:r>
    </w:p>
    <w:p>
      <w:pPr>
        <w:numPr>
          <w:ilvl w:val="0"/>
          <w:numId w:val="3"/>
        </w:numPr>
        <w:tabs>
          <w:tab w:val="left" w:pos="1134"/>
          <w:tab w:val="clear" w:pos="960"/>
        </w:tabs>
        <w:adjustRightInd w:val="0"/>
        <w:snapToGrid w:val="0"/>
        <w:ind w:left="1134" w:hanging="425"/>
        <w:jc w:val="both"/>
        <w:rPr>
          <w:rFonts w:hAnsi="PMingLiU"/>
          <w:spacing w:val="20"/>
        </w:rPr>
      </w:pPr>
      <w:r>
        <w:rPr>
          <w:rFonts w:hint="eastAsia" w:hAnsi="PMingLiU"/>
          <w:spacing w:val="20"/>
        </w:rPr>
        <w:t>為鼓勵學生學習外交知識，大會</w:t>
      </w:r>
      <w:r>
        <w:rPr>
          <w:rFonts w:hint="eastAsia"/>
          <w:spacing w:val="20"/>
        </w:rPr>
        <w:t>提供由外交部駐香港特別行政區特派員公署及外交學院編著的</w:t>
      </w:r>
      <w:r>
        <w:rPr>
          <w:rFonts w:hint="eastAsia"/>
          <w:b/>
          <w:spacing w:val="20"/>
          <w:u w:val="single"/>
        </w:rPr>
        <w:t>《中國外交知識讀本》，</w:t>
      </w:r>
      <w:r>
        <w:rPr>
          <w:rFonts w:hint="eastAsia" w:hAnsi="PMingLiU"/>
          <w:spacing w:val="20"/>
        </w:rPr>
        <w:t>供學生參考。學校</w:t>
      </w:r>
      <w:r>
        <w:rPr>
          <w:rFonts w:hint="eastAsia"/>
          <w:spacing w:val="20"/>
        </w:rPr>
        <w:t>可向秘書處索取</w:t>
      </w:r>
      <w:r>
        <w:rPr>
          <w:rFonts w:hint="eastAsia"/>
          <w:b/>
          <w:spacing w:val="20"/>
          <w:u w:val="single"/>
        </w:rPr>
        <w:t>《中國外交知識讀本》</w:t>
      </w:r>
      <w:r>
        <w:rPr>
          <w:rFonts w:hint="eastAsia"/>
          <w:spacing w:val="20"/>
        </w:rPr>
        <w:t>（詳見</w:t>
      </w:r>
      <w:r>
        <w:rPr>
          <w:rFonts w:hint="eastAsia"/>
          <w:b/>
          <w:spacing w:val="20"/>
          <w:u w:val="single"/>
        </w:rPr>
        <w:t>附錄一</w:t>
      </w:r>
      <w:r>
        <w:rPr>
          <w:rFonts w:hint="eastAsia"/>
          <w:spacing w:val="20"/>
        </w:rPr>
        <w:t>）。</w:t>
      </w:r>
    </w:p>
    <w:p>
      <w:pPr>
        <w:numPr>
          <w:ilvl w:val="0"/>
          <w:numId w:val="3"/>
        </w:numPr>
        <w:tabs>
          <w:tab w:val="left" w:pos="1134"/>
          <w:tab w:val="clear" w:pos="960"/>
        </w:tabs>
        <w:adjustRightInd w:val="0"/>
        <w:snapToGrid w:val="0"/>
        <w:ind w:left="1134" w:hanging="425"/>
        <w:jc w:val="both"/>
        <w:rPr>
          <w:rFonts w:hAnsi="PMingLiU"/>
          <w:spacing w:val="20"/>
        </w:rPr>
      </w:pPr>
      <w:r>
        <w:rPr>
          <w:rFonts w:hint="eastAsia" w:hAnsi="PMingLiU"/>
          <w:spacing w:val="20"/>
        </w:rPr>
        <w:t>每名學生只可參賽一次，須答20道題目，</w:t>
      </w:r>
      <w:r>
        <w:rPr>
          <w:rFonts w:hAnsi="PMingLiU"/>
          <w:spacing w:val="20"/>
        </w:rPr>
        <w:t>限時</w:t>
      </w:r>
      <w:r>
        <w:rPr>
          <w:rFonts w:hint="eastAsia" w:hAnsi="PMingLiU"/>
          <w:spacing w:val="20"/>
        </w:rPr>
        <w:t>10</w:t>
      </w:r>
      <w:r>
        <w:rPr>
          <w:rFonts w:hAnsi="PMingLiU"/>
          <w:spacing w:val="20"/>
        </w:rPr>
        <w:t>分鐘</w:t>
      </w:r>
      <w:r>
        <w:rPr>
          <w:rFonts w:hint="eastAsia" w:hAnsi="PMingLiU"/>
          <w:spacing w:val="20"/>
        </w:rPr>
        <w:t>，每道題目</w:t>
      </w:r>
      <w:r>
        <w:rPr>
          <w:rFonts w:hAnsi="PMingLiU"/>
          <w:spacing w:val="20"/>
        </w:rPr>
        <w:t>限時</w:t>
      </w:r>
      <w:r>
        <w:rPr>
          <w:rFonts w:hint="eastAsia" w:hAnsi="PMingLiU"/>
          <w:spacing w:val="20"/>
        </w:rPr>
        <w:t>30秒。比賽以「鬥快鬥準」為準則。</w:t>
      </w:r>
    </w:p>
    <w:p>
      <w:pPr>
        <w:numPr>
          <w:ilvl w:val="0"/>
          <w:numId w:val="3"/>
        </w:numPr>
        <w:tabs>
          <w:tab w:val="left" w:pos="1134"/>
          <w:tab w:val="clear" w:pos="960"/>
        </w:tabs>
        <w:adjustRightInd w:val="0"/>
        <w:snapToGrid w:val="0"/>
        <w:ind w:left="1134" w:hanging="425"/>
        <w:jc w:val="both"/>
        <w:rPr>
          <w:rFonts w:ascii="PMingLiU" w:hAnsi="PMingLiU"/>
          <w:spacing w:val="20"/>
        </w:rPr>
      </w:pPr>
      <w:r>
        <w:rPr>
          <w:rFonts w:hint="eastAsia" w:ascii="PMingLiU" w:hAnsi="PMingLiU"/>
          <w:spacing w:val="20"/>
        </w:rPr>
        <w:t>為確保公平及公正，參賽學生必須在教師監察下於校內作賽。比賽時不可查閱任何資料。</w:t>
      </w:r>
    </w:p>
    <w:p>
      <w:pPr>
        <w:numPr>
          <w:ilvl w:val="0"/>
          <w:numId w:val="3"/>
        </w:numPr>
        <w:tabs>
          <w:tab w:val="left" w:pos="1134"/>
          <w:tab w:val="clear" w:pos="960"/>
        </w:tabs>
        <w:adjustRightInd w:val="0"/>
        <w:snapToGrid w:val="0"/>
        <w:ind w:left="1134" w:hanging="425"/>
        <w:jc w:val="both"/>
        <w:rPr>
          <w:rFonts w:hAnsi="PMingLiU"/>
          <w:spacing w:val="20"/>
        </w:rPr>
      </w:pPr>
      <w:r>
        <w:rPr>
          <w:rFonts w:hint="eastAsia" w:ascii="PMingLiU" w:hAnsi="PMingLiU"/>
          <w:spacing w:val="20"/>
        </w:rPr>
        <w:t>參賽學生使用的電腦（如桌面電腦、手提電腦、平板電腦等）必須透過學</w:t>
      </w:r>
      <w:r>
        <w:rPr>
          <w:rFonts w:hint="eastAsia" w:hAnsi="PMingLiU"/>
          <w:spacing w:val="20"/>
        </w:rPr>
        <w:t>校有線或無線網路連線至香港教育城比賽網站(</w:t>
      </w:r>
      <w:r>
        <w:fldChar w:fldCharType="begin"/>
      </w:r>
      <w:r>
        <w:instrText xml:space="preserve">HYPERLINK "http://www.hkedcity.net/diplomatic/" </w:instrText>
      </w:r>
      <w:r>
        <w:fldChar w:fldCharType="separate"/>
      </w:r>
      <w:r>
        <w:rPr>
          <w:rStyle w:val="19"/>
          <w:rFonts w:hAnsi="PMingLiU"/>
          <w:spacing w:val="20"/>
        </w:rPr>
        <w:t>http://www.hkedcity.net/</w:t>
      </w:r>
      <w:r>
        <w:rPr>
          <w:rStyle w:val="19"/>
          <w:rFonts w:hint="eastAsia" w:hAnsi="PMingLiU"/>
          <w:spacing w:val="20"/>
        </w:rPr>
        <w:t>diplomatic</w:t>
      </w:r>
      <w:r>
        <w:rPr>
          <w:rStyle w:val="19"/>
          <w:rFonts w:hAnsi="PMingLiU"/>
          <w:spacing w:val="20"/>
        </w:rPr>
        <w:t>/</w:t>
      </w:r>
      <w:r>
        <w:fldChar w:fldCharType="end"/>
      </w:r>
      <w:r>
        <w:rPr>
          <w:rStyle w:val="19"/>
          <w:rFonts w:hint="eastAsia"/>
        </w:rPr>
        <w:t>)</w:t>
      </w:r>
      <w:r>
        <w:rPr>
          <w:rStyle w:val="19"/>
          <w:rFonts w:hint="eastAsia"/>
          <w:u w:val="none"/>
        </w:rPr>
        <w:t xml:space="preserve"> </w:t>
      </w:r>
      <w:r>
        <w:rPr>
          <w:rFonts w:hint="eastAsia" w:hAnsi="PMingLiU"/>
          <w:spacing w:val="20"/>
        </w:rPr>
        <w:t>作賽。</w:t>
      </w:r>
    </w:p>
    <w:p>
      <w:pPr>
        <w:numPr>
          <w:ilvl w:val="0"/>
          <w:numId w:val="3"/>
        </w:numPr>
        <w:tabs>
          <w:tab w:val="left" w:pos="1134"/>
          <w:tab w:val="clear" w:pos="960"/>
        </w:tabs>
        <w:adjustRightInd w:val="0"/>
        <w:snapToGrid w:val="0"/>
        <w:ind w:left="1134" w:hanging="425"/>
        <w:jc w:val="both"/>
        <w:rPr>
          <w:spacing w:val="20"/>
        </w:rPr>
      </w:pPr>
      <w:r>
        <w:rPr>
          <w:spacing w:val="20"/>
        </w:rPr>
        <w:t>每校最高分數10名參賽者的分數總和為該校所得的分數。得分最高的10所學校可進入決賽，第1至5名的進入</w:t>
      </w:r>
      <w:r>
        <w:rPr>
          <w:rFonts w:hint="eastAsia"/>
          <w:spacing w:val="20"/>
        </w:rPr>
        <w:t>精英</w:t>
      </w:r>
      <w:r>
        <w:rPr>
          <w:spacing w:val="20"/>
        </w:rPr>
        <w:t>賽，第6至10名進入</w:t>
      </w:r>
      <w:r>
        <w:rPr>
          <w:rFonts w:hint="eastAsia"/>
          <w:spacing w:val="20"/>
        </w:rPr>
        <w:t>先鋒</w:t>
      </w:r>
      <w:r>
        <w:rPr>
          <w:spacing w:val="20"/>
        </w:rPr>
        <w:t>賽。若分數相同則比較時間，以定出線資格。不設上訴機制。</w:t>
      </w:r>
    </w:p>
    <w:p>
      <w:pPr>
        <w:numPr>
          <w:ilvl w:val="0"/>
          <w:numId w:val="3"/>
        </w:numPr>
        <w:tabs>
          <w:tab w:val="left" w:pos="1134"/>
          <w:tab w:val="clear" w:pos="960"/>
        </w:tabs>
        <w:adjustRightInd w:val="0"/>
        <w:snapToGrid w:val="0"/>
        <w:ind w:left="1134" w:hanging="425"/>
        <w:jc w:val="both"/>
        <w:rPr>
          <w:spacing w:val="20"/>
        </w:rPr>
      </w:pPr>
      <w:r>
        <w:rPr>
          <w:spacing w:val="20"/>
        </w:rPr>
        <w:t>其他比賽細則，容後另函通知參賽學校。</w:t>
      </w:r>
    </w:p>
    <w:p>
      <w:pPr>
        <w:adjustRightInd w:val="0"/>
        <w:snapToGrid w:val="0"/>
        <w:ind w:left="96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spacing w:val="20"/>
        </w:rPr>
        <w:t>賽前測試</w:t>
      </w:r>
    </w:p>
    <w:p>
      <w:pPr>
        <w:adjustRightInd w:val="0"/>
        <w:snapToGrid w:val="0"/>
        <w:ind w:left="850" w:leftChars="354"/>
        <w:jc w:val="both"/>
        <w:rPr>
          <w:rFonts w:hAnsi="PMingLiU"/>
          <w:spacing w:val="20"/>
        </w:rPr>
      </w:pPr>
      <w:r>
        <w:rPr>
          <w:rFonts w:hint="eastAsia" w:hAnsi="PMingLiU"/>
          <w:spacing w:val="20"/>
        </w:rPr>
        <w:t>大會將提供5天時間予參賽學生登入香港教育城網站(</w:t>
      </w:r>
      <w:r>
        <w:fldChar w:fldCharType="begin"/>
      </w:r>
      <w:r>
        <w:instrText xml:space="preserve">HYPERLINK "http://www.hkedcity.net/diplomatic/" </w:instrText>
      </w:r>
      <w:r>
        <w:fldChar w:fldCharType="separate"/>
      </w:r>
      <w:r>
        <w:rPr>
          <w:rStyle w:val="19"/>
          <w:rFonts w:hAnsi="PMingLiU"/>
          <w:spacing w:val="20"/>
        </w:rPr>
        <w:t>http://www.hkedcity.net/</w:t>
      </w:r>
      <w:r>
        <w:rPr>
          <w:rStyle w:val="19"/>
          <w:rFonts w:hint="eastAsia" w:hAnsi="PMingLiU"/>
          <w:spacing w:val="20"/>
        </w:rPr>
        <w:t>diplomatic</w:t>
      </w:r>
      <w:r>
        <w:rPr>
          <w:rStyle w:val="19"/>
          <w:rFonts w:hAnsi="PMingLiU"/>
          <w:spacing w:val="20"/>
        </w:rPr>
        <w:t>/</w:t>
      </w:r>
      <w:r>
        <w:fldChar w:fldCharType="end"/>
      </w:r>
      <w:r>
        <w:rPr>
          <w:rFonts w:hint="eastAsia" w:hAnsi="PMingLiU"/>
          <w:spacing w:val="20"/>
        </w:rPr>
        <w:t>) 進行賽前測試，以助他們了解比賽的方法。測試日為</w:t>
      </w:r>
      <w:r>
        <w:rPr>
          <w:rFonts w:hint="eastAsia" w:hAnsi="PMingLiU"/>
          <w:spacing w:val="20"/>
          <w:u w:val="single"/>
        </w:rPr>
        <w:t>2018年2月5日（星期一）至9日（星期五）</w:t>
      </w:r>
      <w:r>
        <w:rPr>
          <w:rFonts w:hint="eastAsia" w:hAnsi="PMingLiU"/>
          <w:spacing w:val="20"/>
        </w:rPr>
        <w:t>，網站開放時間為上午8:00至下午6:00。</w:t>
      </w:r>
    </w:p>
    <w:p>
      <w:pPr>
        <w:adjustRightInd w:val="0"/>
        <w:snapToGrid w:val="0"/>
        <w:ind w:left="96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Ansi="PMingLiU"/>
          <w:spacing w:val="20"/>
        </w:rPr>
        <w:t>獎勵</w:t>
      </w:r>
    </w:p>
    <w:p>
      <w:pPr>
        <w:numPr>
          <w:ilvl w:val="0"/>
          <w:numId w:val="3"/>
        </w:numPr>
        <w:tabs>
          <w:tab w:val="left" w:pos="1134"/>
          <w:tab w:val="clear" w:pos="960"/>
        </w:tabs>
        <w:adjustRightInd w:val="0"/>
        <w:snapToGrid w:val="0"/>
        <w:ind w:left="1134" w:hanging="425"/>
        <w:jc w:val="both"/>
        <w:rPr>
          <w:rFonts w:ascii="PMingLiU" w:hAnsi="PMingLiU"/>
          <w:spacing w:val="20"/>
        </w:rPr>
      </w:pPr>
      <w:r>
        <w:rPr>
          <w:rFonts w:hint="eastAsia" w:ascii="PMingLiU" w:hAnsi="PMingLiU"/>
          <w:spacing w:val="20"/>
        </w:rPr>
        <w:t>為鼓勵學校積極參賽，大會設有下列學校獎項，得獎學校會獲頒贈獎盃</w:t>
      </w:r>
      <w:r>
        <w:rPr>
          <w:rFonts w:ascii="PMingLiU" w:hAnsi="PMingLiU"/>
          <w:spacing w:val="20"/>
        </w:rPr>
        <w:t>及</w:t>
      </w:r>
      <w:r>
        <w:rPr>
          <w:rFonts w:hint="eastAsia" w:ascii="PMingLiU" w:hAnsi="PMingLiU"/>
          <w:spacing w:val="20"/>
        </w:rPr>
        <w:t>書券：</w:t>
      </w:r>
    </w:p>
    <w:p>
      <w:pPr>
        <w:numPr>
          <w:ilvl w:val="0"/>
          <w:numId w:val="4"/>
        </w:numPr>
        <w:tabs>
          <w:tab w:val="left" w:pos="1418"/>
          <w:tab w:val="clear" w:pos="1256"/>
        </w:tabs>
        <w:adjustRightInd w:val="0"/>
        <w:snapToGrid w:val="0"/>
        <w:ind w:left="1418"/>
        <w:jc w:val="both"/>
        <w:rPr>
          <w:spacing w:val="20"/>
        </w:rPr>
      </w:pPr>
      <w:r>
        <w:rPr>
          <w:rFonts w:hint="eastAsia" w:hAnsi="PMingLiU"/>
          <w:spacing w:val="20"/>
        </w:rPr>
        <w:t>「最佳表現學校獎」：比較每校首100名最高分</w:t>
      </w:r>
      <w:r>
        <w:rPr>
          <w:rFonts w:hAnsi="PMingLiU"/>
          <w:spacing w:val="20"/>
        </w:rPr>
        <w:t>數</w:t>
      </w:r>
      <w:r>
        <w:rPr>
          <w:rFonts w:hint="eastAsia" w:hAnsi="PMingLiU"/>
          <w:spacing w:val="20"/>
        </w:rPr>
        <w:t>學生的總成績（如學校少於</w:t>
      </w:r>
      <w:r>
        <w:rPr>
          <w:rFonts w:hint="eastAsia"/>
          <w:spacing w:val="20"/>
        </w:rPr>
        <w:t>100</w:t>
      </w:r>
      <w:r>
        <w:rPr>
          <w:rFonts w:hint="eastAsia" w:hAnsi="PMingLiU"/>
          <w:spacing w:val="20"/>
        </w:rPr>
        <w:t>人參賽，則計算所有參賽者的總成績</w:t>
      </w:r>
      <w:r>
        <w:rPr>
          <w:rFonts w:hint="eastAsia"/>
          <w:spacing w:val="20"/>
        </w:rPr>
        <w:t>）</w:t>
      </w:r>
      <w:r>
        <w:rPr>
          <w:rFonts w:hint="eastAsia" w:hAnsi="PMingLiU"/>
          <w:spacing w:val="20"/>
        </w:rPr>
        <w:t>，若</w:t>
      </w:r>
      <w:r>
        <w:rPr>
          <w:rFonts w:hAnsi="PMingLiU"/>
          <w:spacing w:val="20"/>
        </w:rPr>
        <w:t>分數相同則</w:t>
      </w:r>
      <w:r>
        <w:rPr>
          <w:rFonts w:hint="eastAsia" w:hAnsi="PMingLiU"/>
          <w:spacing w:val="20"/>
        </w:rPr>
        <w:t>比較時間，以定出「最佳表現學校獎」。</w:t>
      </w:r>
    </w:p>
    <w:p>
      <w:pPr>
        <w:tabs>
          <w:tab w:val="left" w:pos="1418"/>
        </w:tabs>
        <w:adjustRightInd w:val="0"/>
        <w:snapToGrid w:val="0"/>
        <w:ind w:left="1418"/>
        <w:jc w:val="both"/>
        <w:rPr>
          <w:spacing w:val="20"/>
        </w:rPr>
      </w:pPr>
    </w:p>
    <w:p>
      <w:pPr>
        <w:numPr>
          <w:ilvl w:val="0"/>
          <w:numId w:val="4"/>
        </w:numPr>
        <w:tabs>
          <w:tab w:val="left" w:pos="1418"/>
          <w:tab w:val="clear" w:pos="1256"/>
        </w:tabs>
        <w:adjustRightInd w:val="0"/>
        <w:snapToGrid w:val="0"/>
        <w:ind w:left="1418"/>
        <w:jc w:val="both"/>
        <w:rPr>
          <w:rFonts w:hAnsi="PMingLiU"/>
          <w:spacing w:val="20"/>
        </w:rPr>
      </w:pPr>
      <w:r>
        <w:rPr>
          <w:rFonts w:hint="eastAsia" w:hAnsi="PMingLiU"/>
          <w:spacing w:val="20"/>
        </w:rPr>
        <w:t>「最佳新秀獎」：比較過往三年沒有參加「香港盃外交知識競賽」的學校，每校首100名最高分</w:t>
      </w:r>
      <w:r>
        <w:rPr>
          <w:rFonts w:hAnsi="PMingLiU"/>
          <w:spacing w:val="20"/>
        </w:rPr>
        <w:t>數</w:t>
      </w:r>
      <w:r>
        <w:rPr>
          <w:rFonts w:hint="eastAsia" w:hAnsi="PMingLiU"/>
          <w:spacing w:val="20"/>
        </w:rPr>
        <w:t>學生的總成績（如學校少於100人參賽，則計算所有參賽者的總成績），若</w:t>
      </w:r>
      <w:r>
        <w:rPr>
          <w:rFonts w:hAnsi="PMingLiU"/>
          <w:spacing w:val="20"/>
        </w:rPr>
        <w:t>分數相同則</w:t>
      </w:r>
      <w:r>
        <w:rPr>
          <w:rFonts w:hint="eastAsia" w:hAnsi="PMingLiU"/>
          <w:spacing w:val="20"/>
        </w:rPr>
        <w:t>比較時間，以定出「最佳新秀獎」。</w:t>
      </w:r>
    </w:p>
    <w:p>
      <w:pPr>
        <w:pStyle w:val="23"/>
        <w:tabs>
          <w:tab w:val="left" w:pos="1418"/>
        </w:tabs>
        <w:rPr>
          <w:rFonts w:hAnsi="PMingLiU"/>
          <w:spacing w:val="20"/>
        </w:rPr>
      </w:pPr>
      <w:r>
        <w:rPr>
          <w:rFonts w:hint="eastAsia" w:hAnsi="PMingLiU"/>
          <w:spacing w:val="20"/>
        </w:rPr>
        <w:t xml:space="preserve">      </w:t>
      </w:r>
    </w:p>
    <w:p>
      <w:pPr>
        <w:numPr>
          <w:ilvl w:val="0"/>
          <w:numId w:val="4"/>
        </w:numPr>
        <w:tabs>
          <w:tab w:val="left" w:pos="1418"/>
          <w:tab w:val="clear" w:pos="1256"/>
        </w:tabs>
        <w:overflowPunct w:val="0"/>
        <w:adjustRightInd w:val="0"/>
        <w:snapToGrid w:val="0"/>
        <w:ind w:left="1418" w:hanging="482"/>
        <w:jc w:val="both"/>
        <w:rPr>
          <w:rFonts w:hAnsi="PMingLiU"/>
          <w:spacing w:val="20"/>
        </w:rPr>
      </w:pPr>
      <w:r>
        <w:rPr>
          <w:rFonts w:hint="eastAsia" w:hAnsi="PMingLiU"/>
          <w:spacing w:val="20"/>
        </w:rPr>
        <w:t>「最踴躍參與學校獎」：為表揚一直支持「</w:t>
      </w:r>
      <w:r>
        <w:rPr>
          <w:rFonts w:hAnsi="PMingLiU"/>
          <w:spacing w:val="20"/>
        </w:rPr>
        <w:t>香港</w:t>
      </w:r>
      <w:r>
        <w:rPr>
          <w:rFonts w:hint="eastAsia" w:hAnsi="PMingLiU"/>
          <w:spacing w:val="20"/>
        </w:rPr>
        <w:t>盃外交知識競賽」的學校，最近五年一直參加外交知識競賽的學校會獲「踴躍參與學校獎」，並獲贈錦旗。當中，本屆學生作答人數比例最高的學校，會獲「最踴躍參與學校獎」。</w:t>
      </w:r>
    </w:p>
    <w:p>
      <w:pPr>
        <w:numPr>
          <w:ilvl w:val="0"/>
          <w:numId w:val="5"/>
        </w:numPr>
        <w:tabs>
          <w:tab w:val="left" w:pos="1134"/>
          <w:tab w:val="clear" w:pos="960"/>
        </w:tabs>
        <w:adjustRightInd w:val="0"/>
        <w:snapToGrid w:val="0"/>
        <w:ind w:left="1134" w:hanging="425"/>
        <w:jc w:val="both"/>
        <w:rPr>
          <w:rFonts w:hAnsi="PMingLiU"/>
          <w:spacing w:val="20"/>
        </w:rPr>
      </w:pPr>
      <w:r>
        <w:rPr>
          <w:rFonts w:hint="eastAsia" w:hAnsi="PMingLiU"/>
          <w:spacing w:val="20"/>
        </w:rPr>
        <w:t>「最佳新秀獎」及「最踴躍參與學校獎」的獲獎學校校長和師生（每校5人）會獲安排</w:t>
      </w:r>
      <w:r>
        <w:rPr>
          <w:rFonts w:hint="eastAsia" w:hAnsi="PMingLiU"/>
          <w:spacing w:val="20"/>
          <w:u w:val="single"/>
        </w:rPr>
        <w:t>以</w:t>
      </w:r>
      <w:r>
        <w:rPr>
          <w:rFonts w:hAnsi="PMingLiU"/>
          <w:spacing w:val="20"/>
          <w:u w:val="single"/>
        </w:rPr>
        <w:t>外交知識競賽</w:t>
      </w:r>
      <w:r>
        <w:rPr>
          <w:rFonts w:hint="eastAsia" w:hAnsi="PMingLiU"/>
          <w:spacing w:val="20"/>
          <w:u w:val="single"/>
        </w:rPr>
        <w:t>得獎代表團成員身分在7-8月期間到北京交流</w:t>
      </w:r>
      <w:r>
        <w:rPr>
          <w:rFonts w:hint="eastAsia" w:hAnsi="PMingLiU"/>
          <w:spacing w:val="20"/>
        </w:rPr>
        <w:t>。（如獲獎學校在精英賽或先鋒賽贏取代表團資格，交流活動名額將順延給該獎項次高名次的學校，如此類推。）</w:t>
      </w:r>
    </w:p>
    <w:p>
      <w:pPr>
        <w:adjustRightInd w:val="0"/>
        <w:snapToGrid w:val="0"/>
        <w:ind w:left="1256"/>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spacing w:val="20"/>
        </w:rPr>
        <w:t>賽果公布</w:t>
      </w:r>
    </w:p>
    <w:p>
      <w:pPr>
        <w:adjustRightInd w:val="0"/>
        <w:snapToGrid w:val="0"/>
        <w:ind w:left="847" w:leftChars="353" w:firstLine="2"/>
        <w:jc w:val="both"/>
        <w:rPr>
          <w:rFonts w:hAnsi="PMingLiU"/>
          <w:spacing w:val="20"/>
        </w:rPr>
      </w:pPr>
      <w:r>
        <w:rPr>
          <w:rFonts w:hAnsi="PMingLiU"/>
          <w:spacing w:val="20"/>
        </w:rPr>
        <w:t>比賽</w:t>
      </w:r>
      <w:r>
        <w:rPr>
          <w:rFonts w:hint="eastAsia" w:hAnsi="PMingLiU"/>
          <w:spacing w:val="20"/>
        </w:rPr>
        <w:t>結果將</w:t>
      </w:r>
      <w:r>
        <w:rPr>
          <w:rFonts w:hAnsi="PMingLiU"/>
          <w:spacing w:val="20"/>
        </w:rPr>
        <w:t>於</w:t>
      </w:r>
      <w:r>
        <w:rPr>
          <w:rFonts w:hAnsi="PMingLiU"/>
          <w:spacing w:val="20"/>
          <w:u w:val="single"/>
        </w:rPr>
        <w:t>20</w:t>
      </w:r>
      <w:r>
        <w:rPr>
          <w:rFonts w:hint="eastAsia" w:hAnsi="PMingLiU"/>
          <w:spacing w:val="20"/>
          <w:u w:val="single"/>
        </w:rPr>
        <w:t>18</w:t>
      </w:r>
      <w:r>
        <w:rPr>
          <w:rFonts w:hAnsi="PMingLiU"/>
          <w:spacing w:val="20"/>
          <w:u w:val="single"/>
        </w:rPr>
        <w:t>年</w:t>
      </w:r>
      <w:r>
        <w:rPr>
          <w:rFonts w:hint="eastAsia" w:hAnsi="PMingLiU"/>
          <w:spacing w:val="20"/>
          <w:u w:val="single"/>
        </w:rPr>
        <w:t>3</w:t>
      </w:r>
      <w:r>
        <w:rPr>
          <w:rFonts w:hAnsi="PMingLiU"/>
          <w:spacing w:val="20"/>
          <w:u w:val="single"/>
        </w:rPr>
        <w:t>月</w:t>
      </w:r>
      <w:r>
        <w:rPr>
          <w:rFonts w:hint="eastAsia" w:hAnsi="PMingLiU"/>
          <w:spacing w:val="20"/>
          <w:u w:val="single"/>
        </w:rPr>
        <w:t>23</w:t>
      </w:r>
      <w:r>
        <w:rPr>
          <w:rFonts w:hAnsi="PMingLiU"/>
          <w:spacing w:val="20"/>
          <w:u w:val="single"/>
        </w:rPr>
        <w:t>日</w:t>
      </w:r>
      <w:r>
        <w:rPr>
          <w:rFonts w:hint="eastAsia" w:hAnsi="PMingLiU"/>
          <w:spacing w:val="20"/>
          <w:u w:val="single"/>
        </w:rPr>
        <w:t>（星期五）或以</w:t>
      </w:r>
      <w:r>
        <w:rPr>
          <w:rFonts w:hAnsi="PMingLiU"/>
          <w:spacing w:val="20"/>
          <w:u w:val="single"/>
        </w:rPr>
        <w:t>前</w:t>
      </w:r>
      <w:r>
        <w:rPr>
          <w:rFonts w:hint="eastAsia" w:hAnsi="PMingLiU"/>
          <w:spacing w:val="20"/>
        </w:rPr>
        <w:t>在</w:t>
      </w:r>
      <w:r>
        <w:rPr>
          <w:rFonts w:hAnsi="PMingLiU"/>
          <w:spacing w:val="20"/>
        </w:rPr>
        <w:t>競賽</w:t>
      </w:r>
      <w:r>
        <w:rPr>
          <w:rFonts w:hint="eastAsia" w:hAnsi="PMingLiU"/>
          <w:spacing w:val="20"/>
        </w:rPr>
        <w:t>網站及薪火相傳平台網站公布，晉身精英賽、先鋒賽，以及其他得獎學校將獲專函通知。</w:t>
      </w:r>
    </w:p>
    <w:p>
      <w:pPr>
        <w:adjustRightInd w:val="0"/>
        <w:snapToGrid w:val="0"/>
        <w:jc w:val="both"/>
        <w:rPr>
          <w:u w:val="single"/>
        </w:rPr>
      </w:pPr>
    </w:p>
    <w:p>
      <w:pPr>
        <w:adjustRightInd w:val="0"/>
        <w:snapToGrid w:val="0"/>
        <w:jc w:val="both"/>
        <w:rPr>
          <w:u w:val="single"/>
        </w:rPr>
      </w:pPr>
    </w:p>
    <w:p>
      <w:pPr>
        <w:adjustRightInd w:val="0"/>
        <w:snapToGrid w:val="0"/>
        <w:jc w:val="both"/>
        <w:rPr>
          <w:rFonts w:hAnsi="PMingLiU" w:eastAsia="宋体"/>
          <w:spacing w:val="20"/>
          <w:lang w:eastAsia="zh-CN"/>
        </w:rPr>
      </w:pPr>
      <w:r>
        <w:rPr>
          <w:rFonts w:hAnsi="PMingLiU"/>
          <w:spacing w:val="20"/>
        </w:rPr>
        <w:t>（</w:t>
      </w:r>
      <w:r>
        <w:rPr>
          <w:rFonts w:hint="eastAsia" w:hAnsi="PMingLiU"/>
          <w:spacing w:val="20"/>
        </w:rPr>
        <w:t>二</w:t>
      </w:r>
      <w:r>
        <w:rPr>
          <w:rFonts w:hAnsi="PMingLiU"/>
          <w:spacing w:val="20"/>
        </w:rPr>
        <w:t>）</w:t>
      </w:r>
      <w:r>
        <w:rPr>
          <w:rFonts w:hint="eastAsia" w:hAnsi="PMingLiU"/>
          <w:spacing w:val="20"/>
        </w:rPr>
        <w:t>精英</w:t>
      </w:r>
      <w:r>
        <w:rPr>
          <w:rFonts w:hAnsi="PMingLiU"/>
          <w:spacing w:val="20"/>
        </w:rPr>
        <w:t>賽</w:t>
      </w:r>
    </w:p>
    <w:p>
      <w:pPr>
        <w:adjustRightInd w:val="0"/>
        <w:snapToGrid w:val="0"/>
        <w:jc w:val="both"/>
        <w:rPr>
          <w:rFonts w:hAnsi="PMingLiU" w:eastAsia="宋体"/>
          <w:spacing w:val="20"/>
          <w:lang w:eastAsia="zh-CN"/>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spacing w:val="20"/>
        </w:rPr>
        <w:t>日期</w:t>
      </w:r>
    </w:p>
    <w:p>
      <w:pPr>
        <w:adjustRightInd w:val="0"/>
        <w:snapToGrid w:val="0"/>
        <w:ind w:left="847" w:leftChars="353" w:firstLine="2"/>
        <w:jc w:val="both"/>
        <w:rPr>
          <w:rFonts w:hAnsi="PMingLiU"/>
          <w:spacing w:val="20"/>
        </w:rPr>
      </w:pPr>
      <w:r>
        <w:rPr>
          <w:rFonts w:hint="eastAsia" w:hAnsi="PMingLiU"/>
          <w:spacing w:val="20"/>
        </w:rPr>
        <w:t>2018年5月（確實日期容後通知）</w:t>
      </w:r>
    </w:p>
    <w:p>
      <w:pPr>
        <w:adjustRightInd w:val="0"/>
        <w:snapToGrid w:val="0"/>
        <w:ind w:left="96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spacing w:val="20"/>
        </w:rPr>
        <w:t>參賽資格及分組安排</w:t>
      </w:r>
    </w:p>
    <w:p>
      <w:pPr>
        <w:numPr>
          <w:ilvl w:val="0"/>
          <w:numId w:val="3"/>
        </w:numPr>
        <w:tabs>
          <w:tab w:val="left" w:pos="1134"/>
          <w:tab w:val="clear" w:pos="960"/>
        </w:tabs>
        <w:adjustRightInd w:val="0"/>
        <w:snapToGrid w:val="0"/>
        <w:ind w:left="1134" w:hanging="425"/>
        <w:jc w:val="both"/>
        <w:rPr>
          <w:rFonts w:ascii="PMingLiU" w:hAnsi="PMingLiU"/>
          <w:spacing w:val="20"/>
        </w:rPr>
      </w:pPr>
      <w:r>
        <w:rPr>
          <w:rFonts w:hint="eastAsia" w:ascii="PMingLiU" w:hAnsi="PMingLiU"/>
          <w:spacing w:val="20"/>
        </w:rPr>
        <w:t>中學組初賽中最高分數的首</w:t>
      </w:r>
      <w:r>
        <w:rPr>
          <w:spacing w:val="20"/>
        </w:rPr>
        <w:t>5</w:t>
      </w:r>
      <w:r>
        <w:rPr>
          <w:rFonts w:hint="eastAsia" w:ascii="PMingLiU" w:hAnsi="PMingLiU"/>
          <w:spacing w:val="20"/>
        </w:rPr>
        <w:t>所學校。</w:t>
      </w:r>
    </w:p>
    <w:p>
      <w:pPr>
        <w:numPr>
          <w:ilvl w:val="0"/>
          <w:numId w:val="3"/>
        </w:numPr>
        <w:tabs>
          <w:tab w:val="left" w:pos="1134"/>
          <w:tab w:val="clear" w:pos="960"/>
        </w:tabs>
        <w:adjustRightInd w:val="0"/>
        <w:snapToGrid w:val="0"/>
        <w:ind w:left="1134" w:hanging="425"/>
        <w:jc w:val="both"/>
        <w:rPr>
          <w:rFonts w:ascii="PMingLiU" w:hAnsi="PMingLiU"/>
          <w:spacing w:val="20"/>
        </w:rPr>
      </w:pPr>
      <w:r>
        <w:rPr>
          <w:rFonts w:hint="eastAsia" w:ascii="PMingLiU" w:hAnsi="PMingLiU"/>
          <w:spacing w:val="20"/>
        </w:rPr>
        <w:t>採隊制方式進行，每校成立一參賽隊伍。</w:t>
      </w:r>
    </w:p>
    <w:p>
      <w:pPr>
        <w:numPr>
          <w:ilvl w:val="0"/>
          <w:numId w:val="3"/>
        </w:numPr>
        <w:tabs>
          <w:tab w:val="left" w:pos="1134"/>
          <w:tab w:val="clear" w:pos="960"/>
        </w:tabs>
        <w:adjustRightInd w:val="0"/>
        <w:snapToGrid w:val="0"/>
        <w:ind w:left="1134" w:hanging="425"/>
        <w:jc w:val="both"/>
        <w:rPr>
          <w:rFonts w:ascii="PMingLiU" w:hAnsi="PMingLiU"/>
          <w:spacing w:val="20"/>
        </w:rPr>
      </w:pPr>
      <w:r>
        <w:rPr>
          <w:rFonts w:hint="eastAsia" w:ascii="PMingLiU" w:hAnsi="PMingLiU"/>
          <w:spacing w:val="20"/>
        </w:rPr>
        <w:t>參賽者必須曾參加本屆的初賽，參賽名單一經遞交，便不可以更改。</w:t>
      </w:r>
    </w:p>
    <w:p>
      <w:pPr>
        <w:adjustRightInd w:val="0"/>
        <w:snapToGrid w:val="0"/>
        <w:ind w:left="96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spacing w:val="20"/>
        </w:rPr>
        <w:t>每隊參賽人數</w:t>
      </w:r>
    </w:p>
    <w:p>
      <w:pPr>
        <w:adjustRightInd w:val="0"/>
        <w:snapToGrid w:val="0"/>
        <w:ind w:left="847" w:leftChars="353" w:firstLine="2"/>
        <w:jc w:val="both"/>
        <w:rPr>
          <w:rFonts w:hAnsi="PMingLiU"/>
          <w:spacing w:val="20"/>
        </w:rPr>
      </w:pPr>
      <w:r>
        <w:rPr>
          <w:rFonts w:hint="eastAsia" w:hAnsi="PMingLiU"/>
          <w:spacing w:val="20"/>
        </w:rPr>
        <w:t>每隊5人，其中最少包括兩名初中學生；但出賽學生為3人，其中最少包括1名初中學生。</w:t>
      </w:r>
    </w:p>
    <w:p>
      <w:pPr>
        <w:adjustRightInd w:val="0"/>
        <w:snapToGrid w:val="0"/>
        <w:ind w:left="96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spacing w:val="20"/>
        </w:rPr>
        <w:t>比賽語言</w:t>
      </w:r>
    </w:p>
    <w:p>
      <w:pPr>
        <w:adjustRightInd w:val="0"/>
        <w:snapToGrid w:val="0"/>
        <w:ind w:left="847" w:leftChars="353" w:firstLine="2"/>
        <w:jc w:val="both"/>
        <w:rPr>
          <w:rFonts w:hAnsi="PMingLiU"/>
          <w:spacing w:val="20"/>
        </w:rPr>
      </w:pPr>
      <w:r>
        <w:rPr>
          <w:rFonts w:hint="eastAsia" w:hAnsi="PMingLiU"/>
          <w:spacing w:val="20"/>
        </w:rPr>
        <w:t>普通話</w:t>
      </w:r>
    </w:p>
    <w:p>
      <w:pPr>
        <w:adjustRightInd w:val="0"/>
        <w:snapToGrid w:val="0"/>
        <w:ind w:left="96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spacing w:val="20"/>
        </w:rPr>
        <w:t>比賽可能會在電視台進行及製作成電視節目，其他比賽細則容後公布。</w:t>
      </w:r>
    </w:p>
    <w:p>
      <w:pPr>
        <w:tabs>
          <w:tab w:val="left" w:pos="3402"/>
        </w:tabs>
        <w:adjustRightInd w:val="0"/>
        <w:snapToGrid w:val="0"/>
        <w:ind w:left="48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Ansi="PMingLiU"/>
          <w:spacing w:val="20"/>
        </w:rPr>
        <w:t>獎勵</w:t>
      </w:r>
    </w:p>
    <w:p>
      <w:pPr>
        <w:numPr>
          <w:ilvl w:val="0"/>
          <w:numId w:val="5"/>
        </w:numPr>
        <w:tabs>
          <w:tab w:val="left" w:pos="1134"/>
          <w:tab w:val="clear" w:pos="960"/>
        </w:tabs>
        <w:adjustRightInd w:val="0"/>
        <w:snapToGrid w:val="0"/>
        <w:ind w:left="1134" w:hanging="425"/>
        <w:jc w:val="both"/>
        <w:rPr>
          <w:rFonts w:hAnsi="PMingLiU"/>
          <w:spacing w:val="20"/>
        </w:rPr>
      </w:pPr>
      <w:r>
        <w:rPr>
          <w:rFonts w:hint="eastAsia" w:hAnsi="PMingLiU"/>
          <w:spacing w:val="20"/>
        </w:rPr>
        <w:t>設金獎（一支隊伍）、銀獎（兩支隊伍）、銅獎（兩支隊伍），以及「最佳發言人」獎（一名參賽學生）。</w:t>
      </w:r>
    </w:p>
    <w:p>
      <w:pPr>
        <w:numPr>
          <w:ilvl w:val="0"/>
          <w:numId w:val="5"/>
        </w:numPr>
        <w:tabs>
          <w:tab w:val="left" w:pos="1134"/>
          <w:tab w:val="clear" w:pos="960"/>
        </w:tabs>
        <w:adjustRightInd w:val="0"/>
        <w:snapToGrid w:val="0"/>
        <w:ind w:left="1134" w:hanging="425"/>
        <w:jc w:val="both"/>
        <w:rPr>
          <w:rFonts w:hAnsi="PMingLiU"/>
          <w:spacing w:val="20"/>
        </w:rPr>
      </w:pPr>
      <w:r>
        <w:rPr>
          <w:rFonts w:hint="eastAsia" w:hAnsi="PMingLiU"/>
          <w:spacing w:val="20"/>
        </w:rPr>
        <w:t>每名金獎隊員會獲贈平板電腦乙部。</w:t>
      </w:r>
    </w:p>
    <w:p>
      <w:pPr>
        <w:numPr>
          <w:ilvl w:val="0"/>
          <w:numId w:val="5"/>
        </w:numPr>
        <w:tabs>
          <w:tab w:val="left" w:pos="1134"/>
          <w:tab w:val="clear" w:pos="960"/>
        </w:tabs>
        <w:adjustRightInd w:val="0"/>
        <w:snapToGrid w:val="0"/>
        <w:ind w:left="1134" w:hanging="425"/>
        <w:jc w:val="both"/>
        <w:rPr>
          <w:rFonts w:hAnsi="PMingLiU"/>
          <w:spacing w:val="20"/>
        </w:rPr>
      </w:pPr>
      <w:r>
        <w:rPr>
          <w:rFonts w:hint="eastAsia" w:hAnsi="PMingLiU"/>
          <w:spacing w:val="20"/>
        </w:rPr>
        <w:t>「最佳發言人」獎得主會獲頒贈獎盃。</w:t>
      </w:r>
    </w:p>
    <w:p>
      <w:pPr>
        <w:numPr>
          <w:ilvl w:val="0"/>
          <w:numId w:val="5"/>
        </w:numPr>
        <w:tabs>
          <w:tab w:val="left" w:pos="1134"/>
          <w:tab w:val="clear" w:pos="960"/>
        </w:tabs>
        <w:adjustRightInd w:val="0"/>
        <w:snapToGrid w:val="0"/>
        <w:ind w:left="1134" w:hanging="425"/>
        <w:jc w:val="both"/>
        <w:rPr>
          <w:rFonts w:hAnsi="PMingLiU"/>
          <w:spacing w:val="20"/>
        </w:rPr>
      </w:pPr>
      <w:r>
        <w:rPr>
          <w:rFonts w:hint="eastAsia" w:hAnsi="PMingLiU"/>
          <w:spacing w:val="20"/>
        </w:rPr>
        <w:t>5支隊伍所屬學校均獲頒發獎盃</w:t>
      </w:r>
      <w:r>
        <w:rPr>
          <w:rFonts w:hAnsi="PMingLiU"/>
          <w:spacing w:val="20"/>
        </w:rPr>
        <w:t>及</w:t>
      </w:r>
      <w:r>
        <w:rPr>
          <w:rFonts w:hint="eastAsia" w:hAnsi="PMingLiU"/>
          <w:spacing w:val="20"/>
        </w:rPr>
        <w:t>書券。</w:t>
      </w:r>
    </w:p>
    <w:p>
      <w:pPr>
        <w:numPr>
          <w:ilvl w:val="0"/>
          <w:numId w:val="5"/>
        </w:numPr>
        <w:tabs>
          <w:tab w:val="left" w:pos="1134"/>
          <w:tab w:val="clear" w:pos="960"/>
        </w:tabs>
        <w:adjustRightInd w:val="0"/>
        <w:snapToGrid w:val="0"/>
        <w:ind w:left="1134" w:hanging="425"/>
        <w:jc w:val="both"/>
        <w:rPr>
          <w:rFonts w:hAnsi="PMingLiU"/>
          <w:spacing w:val="20"/>
        </w:rPr>
      </w:pPr>
      <w:r>
        <w:rPr>
          <w:rFonts w:hAnsi="PMingLiU"/>
          <w:spacing w:val="20"/>
        </w:rPr>
        <w:t>5</w:t>
      </w:r>
      <w:r>
        <w:rPr>
          <w:rFonts w:hint="eastAsia" w:hAnsi="PMingLiU"/>
          <w:spacing w:val="20"/>
        </w:rPr>
        <w:t>支隊伍的每名隊員會獲贈獎牌及香港迪士尼樂園門票。</w:t>
      </w:r>
    </w:p>
    <w:p>
      <w:pPr>
        <w:numPr>
          <w:ilvl w:val="0"/>
          <w:numId w:val="5"/>
        </w:numPr>
        <w:tabs>
          <w:tab w:val="left" w:pos="1134"/>
          <w:tab w:val="clear" w:pos="960"/>
        </w:tabs>
        <w:adjustRightInd w:val="0"/>
        <w:snapToGrid w:val="0"/>
        <w:ind w:left="1145" w:leftChars="300" w:hanging="425"/>
        <w:jc w:val="both"/>
        <w:rPr>
          <w:rFonts w:hAnsi="PMingLiU"/>
          <w:spacing w:val="20"/>
        </w:rPr>
      </w:pPr>
      <w:r>
        <w:rPr>
          <w:rFonts w:hint="eastAsia" w:hAnsi="PMingLiU"/>
          <w:spacing w:val="20"/>
        </w:rPr>
        <w:t>各隊伍及其校長或領隊教師會組成</w:t>
      </w:r>
      <w:r>
        <w:rPr>
          <w:rFonts w:hAnsi="PMingLiU"/>
          <w:spacing w:val="20"/>
        </w:rPr>
        <w:t>外交知識競賽</w:t>
      </w:r>
      <w:r>
        <w:rPr>
          <w:rFonts w:hint="eastAsia" w:hAnsi="PMingLiU"/>
          <w:spacing w:val="20"/>
        </w:rPr>
        <w:t>得獎代表團，於7-8月期間到北京及其他城市進行交流活動。</w:t>
      </w:r>
    </w:p>
    <w:p>
      <w:pPr>
        <w:adjustRightInd w:val="0"/>
        <w:snapToGrid w:val="0"/>
        <w:jc w:val="both"/>
        <w:rPr>
          <w:u w:val="single"/>
        </w:rPr>
      </w:pPr>
    </w:p>
    <w:p>
      <w:pPr>
        <w:adjustRightInd w:val="0"/>
        <w:snapToGrid w:val="0"/>
        <w:jc w:val="both"/>
        <w:rPr>
          <w:rFonts w:hAnsi="PMingLiU" w:eastAsia="宋体"/>
          <w:spacing w:val="20"/>
          <w:lang w:eastAsia="zh-CN"/>
        </w:rPr>
      </w:pPr>
      <w:r>
        <w:rPr>
          <w:rFonts w:hAnsi="PMingLiU"/>
          <w:spacing w:val="20"/>
        </w:rPr>
        <w:t>（</w:t>
      </w:r>
      <w:r>
        <w:rPr>
          <w:rFonts w:hint="eastAsia" w:hAnsi="PMingLiU"/>
          <w:spacing w:val="20"/>
        </w:rPr>
        <w:t>三</w:t>
      </w:r>
      <w:r>
        <w:rPr>
          <w:rFonts w:hAnsi="PMingLiU"/>
          <w:spacing w:val="20"/>
        </w:rPr>
        <w:t>）</w:t>
      </w:r>
      <w:r>
        <w:rPr>
          <w:rFonts w:hint="eastAsia" w:hAnsi="PMingLiU"/>
          <w:spacing w:val="20"/>
        </w:rPr>
        <w:t>先鋒</w:t>
      </w:r>
      <w:r>
        <w:rPr>
          <w:rFonts w:hAnsi="PMingLiU"/>
          <w:spacing w:val="20"/>
        </w:rPr>
        <w:t>賽</w:t>
      </w:r>
    </w:p>
    <w:p>
      <w:pPr>
        <w:adjustRightInd w:val="0"/>
        <w:snapToGrid w:val="0"/>
        <w:jc w:val="both"/>
        <w:rPr>
          <w:rFonts w:hAnsi="PMingLiU" w:eastAsia="宋体"/>
          <w:spacing w:val="20"/>
          <w:lang w:eastAsia="zh-CN"/>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spacing w:val="20"/>
        </w:rPr>
        <w:t>日期</w:t>
      </w:r>
    </w:p>
    <w:p>
      <w:pPr>
        <w:adjustRightInd w:val="0"/>
        <w:snapToGrid w:val="0"/>
        <w:ind w:left="850" w:leftChars="354"/>
        <w:jc w:val="both"/>
        <w:rPr>
          <w:rFonts w:hAnsi="PMingLiU"/>
          <w:spacing w:val="20"/>
        </w:rPr>
      </w:pPr>
      <w:r>
        <w:rPr>
          <w:rFonts w:hint="eastAsia" w:hAnsi="PMingLiU"/>
          <w:spacing w:val="20"/>
        </w:rPr>
        <w:t>2018年5月（確實日期容後通知）</w:t>
      </w:r>
    </w:p>
    <w:p>
      <w:pPr>
        <w:adjustRightInd w:val="0"/>
        <w:snapToGrid w:val="0"/>
        <w:ind w:left="96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spacing w:val="20"/>
        </w:rPr>
        <w:t>參賽資格</w:t>
      </w:r>
    </w:p>
    <w:p>
      <w:pPr>
        <w:adjustRightInd w:val="0"/>
        <w:snapToGrid w:val="0"/>
        <w:ind w:left="850" w:leftChars="354"/>
        <w:jc w:val="both"/>
        <w:rPr>
          <w:rFonts w:hAnsi="PMingLiU"/>
          <w:spacing w:val="20"/>
        </w:rPr>
      </w:pPr>
      <w:r>
        <w:rPr>
          <w:rFonts w:hint="eastAsia" w:hAnsi="PMingLiU"/>
          <w:spacing w:val="20"/>
        </w:rPr>
        <w:t>中學組初賽中最高分數的</w:t>
      </w:r>
      <w:r>
        <w:rPr>
          <w:spacing w:val="20"/>
        </w:rPr>
        <w:t>第6至10</w:t>
      </w:r>
      <w:r>
        <w:rPr>
          <w:rFonts w:hint="eastAsia"/>
          <w:spacing w:val="20"/>
        </w:rPr>
        <w:t>所</w:t>
      </w:r>
      <w:r>
        <w:rPr>
          <w:rFonts w:hint="eastAsia" w:hAnsi="PMingLiU"/>
          <w:spacing w:val="20"/>
        </w:rPr>
        <w:t>學校。</w:t>
      </w:r>
    </w:p>
    <w:p>
      <w:pPr>
        <w:tabs>
          <w:tab w:val="left" w:pos="3402"/>
        </w:tabs>
        <w:adjustRightInd w:val="0"/>
        <w:snapToGrid w:val="0"/>
        <w:ind w:left="851"/>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spacing w:val="20"/>
        </w:rPr>
        <w:t>參賽人數</w:t>
      </w:r>
    </w:p>
    <w:p>
      <w:pPr>
        <w:tabs>
          <w:tab w:val="left" w:pos="1276"/>
        </w:tabs>
        <w:adjustRightInd w:val="0"/>
        <w:snapToGrid w:val="0"/>
        <w:ind w:left="850" w:leftChars="354"/>
        <w:jc w:val="both"/>
        <w:rPr>
          <w:rFonts w:hAnsi="PMingLiU"/>
          <w:spacing w:val="20"/>
        </w:rPr>
      </w:pPr>
      <w:r>
        <w:rPr>
          <w:rFonts w:hint="eastAsia" w:hAnsi="PMingLiU"/>
          <w:spacing w:val="20"/>
        </w:rPr>
        <w:t>每隊參賽學生為3人，其中最少包括1名初中學生。</w:t>
      </w:r>
    </w:p>
    <w:p>
      <w:pPr>
        <w:adjustRightInd w:val="0"/>
        <w:snapToGrid w:val="0"/>
        <w:ind w:left="96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spacing w:val="20"/>
        </w:rPr>
        <w:t>比賽語言</w:t>
      </w:r>
    </w:p>
    <w:p>
      <w:pPr>
        <w:adjustRightInd w:val="0"/>
        <w:snapToGrid w:val="0"/>
        <w:ind w:left="847" w:leftChars="353" w:firstLine="2"/>
        <w:jc w:val="both"/>
        <w:rPr>
          <w:rFonts w:hAnsi="PMingLiU"/>
          <w:spacing w:val="20"/>
        </w:rPr>
      </w:pPr>
      <w:r>
        <w:rPr>
          <w:rFonts w:hint="eastAsia" w:hAnsi="PMingLiU"/>
          <w:spacing w:val="20"/>
        </w:rPr>
        <w:t>普通話</w:t>
      </w:r>
    </w:p>
    <w:p>
      <w:pPr>
        <w:adjustRightInd w:val="0"/>
        <w:snapToGrid w:val="0"/>
        <w:ind w:left="847" w:leftChars="353" w:firstLine="2"/>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spacing w:val="20"/>
        </w:rPr>
        <w:t>比賽可能會在電視台進行及製作成電視節目，其他比賽細則容後公布。</w:t>
      </w:r>
    </w:p>
    <w:p>
      <w:pPr>
        <w:tabs>
          <w:tab w:val="left" w:pos="3402"/>
        </w:tabs>
        <w:adjustRightInd w:val="0"/>
        <w:snapToGrid w:val="0"/>
        <w:ind w:left="48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Ansi="PMingLiU"/>
          <w:spacing w:val="20"/>
        </w:rPr>
        <w:t>獎勵</w:t>
      </w:r>
    </w:p>
    <w:p>
      <w:pPr>
        <w:numPr>
          <w:ilvl w:val="0"/>
          <w:numId w:val="6"/>
        </w:numPr>
        <w:tabs>
          <w:tab w:val="left" w:pos="1134"/>
          <w:tab w:val="clear" w:pos="960"/>
        </w:tabs>
        <w:adjustRightInd w:val="0"/>
        <w:snapToGrid w:val="0"/>
        <w:ind w:left="1134" w:hanging="425"/>
        <w:jc w:val="both"/>
        <w:rPr>
          <w:rFonts w:hAnsi="PMingLiU"/>
          <w:spacing w:val="20"/>
        </w:rPr>
      </w:pPr>
      <w:r>
        <w:rPr>
          <w:rFonts w:hint="eastAsia" w:hAnsi="PMingLiU"/>
          <w:spacing w:val="20"/>
        </w:rPr>
        <w:t>設金獎、銀獎、銅獎（各一支隊伍）及優異獎（兩支隊伍）。</w:t>
      </w:r>
    </w:p>
    <w:p>
      <w:pPr>
        <w:numPr>
          <w:ilvl w:val="0"/>
          <w:numId w:val="6"/>
        </w:numPr>
        <w:tabs>
          <w:tab w:val="left" w:pos="1134"/>
          <w:tab w:val="clear" w:pos="960"/>
        </w:tabs>
        <w:adjustRightInd w:val="0"/>
        <w:snapToGrid w:val="0"/>
        <w:ind w:left="1134" w:hanging="425"/>
        <w:jc w:val="both"/>
        <w:rPr>
          <w:rFonts w:hAnsi="PMingLiU"/>
          <w:spacing w:val="20"/>
        </w:rPr>
      </w:pPr>
      <w:r>
        <w:rPr>
          <w:rFonts w:hint="eastAsia" w:hAnsi="PMingLiU"/>
          <w:spacing w:val="20"/>
        </w:rPr>
        <w:t>5支隊伍所屬學校均獲頒發獎盃</w:t>
      </w:r>
      <w:r>
        <w:rPr>
          <w:rFonts w:hAnsi="PMingLiU"/>
          <w:spacing w:val="20"/>
        </w:rPr>
        <w:t>及</w:t>
      </w:r>
      <w:r>
        <w:rPr>
          <w:rFonts w:hint="eastAsia" w:hAnsi="PMingLiU"/>
          <w:spacing w:val="20"/>
        </w:rPr>
        <w:t>書券。</w:t>
      </w:r>
    </w:p>
    <w:p>
      <w:pPr>
        <w:numPr>
          <w:ilvl w:val="0"/>
          <w:numId w:val="6"/>
        </w:numPr>
        <w:tabs>
          <w:tab w:val="left" w:pos="1134"/>
          <w:tab w:val="clear" w:pos="960"/>
        </w:tabs>
        <w:adjustRightInd w:val="0"/>
        <w:snapToGrid w:val="0"/>
        <w:ind w:left="1134" w:hanging="425"/>
        <w:jc w:val="both"/>
        <w:rPr>
          <w:rFonts w:hAnsi="PMingLiU"/>
          <w:spacing w:val="20"/>
        </w:rPr>
      </w:pPr>
      <w:r>
        <w:rPr>
          <w:rFonts w:hint="eastAsia" w:hAnsi="PMingLiU"/>
          <w:spacing w:val="20"/>
        </w:rPr>
        <w:t>5支隊伍的每名隊員會獲贈獎牌及香港迪士尼樂園門票。</w:t>
      </w:r>
    </w:p>
    <w:p>
      <w:pPr>
        <w:numPr>
          <w:ilvl w:val="0"/>
          <w:numId w:val="6"/>
        </w:numPr>
        <w:tabs>
          <w:tab w:val="left" w:pos="1134"/>
          <w:tab w:val="clear" w:pos="960"/>
        </w:tabs>
        <w:adjustRightInd w:val="0"/>
        <w:snapToGrid w:val="0"/>
        <w:ind w:left="1134" w:hanging="425"/>
        <w:jc w:val="both"/>
        <w:rPr>
          <w:rFonts w:hAnsi="PMingLiU"/>
          <w:spacing w:val="20"/>
        </w:rPr>
      </w:pPr>
      <w:r>
        <w:rPr>
          <w:rFonts w:hint="eastAsia" w:hAnsi="PMingLiU"/>
          <w:spacing w:val="20"/>
        </w:rPr>
        <w:t>各隊伍及其校長或領隊教師會與精英賽獲獎隊伍組成</w:t>
      </w:r>
      <w:r>
        <w:rPr>
          <w:rFonts w:ascii="PMingLiU" w:hAnsi="PMingLiU"/>
          <w:spacing w:val="20"/>
        </w:rPr>
        <w:t>外交知識競賽</w:t>
      </w:r>
      <w:r>
        <w:rPr>
          <w:rFonts w:hint="eastAsia" w:ascii="PMingLiU" w:hAnsi="PMingLiU"/>
          <w:spacing w:val="20"/>
        </w:rPr>
        <w:t>得獎代表團，</w:t>
      </w:r>
      <w:r>
        <w:rPr>
          <w:rFonts w:hint="eastAsia" w:hAnsi="PMingLiU"/>
          <w:spacing w:val="20"/>
        </w:rPr>
        <w:t>於7-8月期間到北京交流。</w:t>
      </w:r>
    </w:p>
    <w:p>
      <w:pPr>
        <w:adjustRightInd w:val="0"/>
        <w:snapToGrid w:val="0"/>
        <w:jc w:val="both"/>
        <w:rPr>
          <w:rFonts w:hAnsi="PMingLiU"/>
          <w:b/>
          <w:spacing w:val="20"/>
          <w:u w:val="single"/>
        </w:rPr>
      </w:pPr>
    </w:p>
    <w:p>
      <w:pPr>
        <w:adjustRightInd w:val="0"/>
        <w:snapToGrid w:val="0"/>
        <w:jc w:val="both"/>
        <w:rPr>
          <w:rFonts w:hAnsi="PMingLiU"/>
          <w:b/>
          <w:spacing w:val="20"/>
          <w:u w:val="single"/>
        </w:rPr>
      </w:pPr>
      <w:r>
        <w:rPr>
          <w:rFonts w:hint="eastAsia" w:hAnsi="PMingLiU"/>
          <w:b/>
          <w:spacing w:val="20"/>
          <w:u w:val="single"/>
        </w:rPr>
        <w:t>小學組</w:t>
      </w:r>
      <w:r>
        <w:rPr>
          <w:rFonts w:hint="eastAsia" w:hAnsi="PMingLiU"/>
          <w:spacing w:val="20"/>
        </w:rPr>
        <w:t>（小四至小六）</w:t>
      </w:r>
    </w:p>
    <w:p>
      <w:pPr>
        <w:adjustRightInd w:val="0"/>
        <w:snapToGrid w:val="0"/>
        <w:jc w:val="both"/>
        <w:rPr>
          <w:rFonts w:hAnsi="PMingLiU"/>
          <w:spacing w:val="20"/>
          <w:u w:val="single"/>
        </w:rPr>
      </w:pPr>
    </w:p>
    <w:p>
      <w:pPr>
        <w:adjustRightInd w:val="0"/>
        <w:snapToGrid w:val="0"/>
        <w:jc w:val="both"/>
        <w:rPr>
          <w:rFonts w:hAnsi="PMingLiU"/>
          <w:spacing w:val="20"/>
        </w:rPr>
      </w:pPr>
      <w:r>
        <w:rPr>
          <w:rFonts w:hint="eastAsia" w:hAnsi="PMingLiU"/>
          <w:spacing w:val="20"/>
        </w:rPr>
        <w:t>小學組只設一輪</w:t>
      </w:r>
      <w:r>
        <w:rPr>
          <w:rFonts w:hint="eastAsia" w:hAnsi="PMingLiU"/>
          <w:spacing w:val="20"/>
          <w:u w:val="single"/>
        </w:rPr>
        <w:t>網上問答比賽</w:t>
      </w:r>
      <w:r>
        <w:rPr>
          <w:rFonts w:hint="eastAsia" w:hAnsi="PMingLiU"/>
          <w:spacing w:val="20"/>
        </w:rPr>
        <w:t>，不設決賽。</w:t>
      </w:r>
    </w:p>
    <w:p>
      <w:pPr>
        <w:adjustRightInd w:val="0"/>
        <w:snapToGrid w:val="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spacing w:val="20"/>
        </w:rPr>
        <w:t>比賽</w:t>
      </w:r>
      <w:r>
        <w:rPr>
          <w:rFonts w:hAnsi="PMingLiU"/>
          <w:spacing w:val="20"/>
        </w:rPr>
        <w:t>日期</w:t>
      </w:r>
      <w:r>
        <w:rPr>
          <w:rFonts w:hint="eastAsia" w:hAnsi="PMingLiU"/>
          <w:spacing w:val="20"/>
        </w:rPr>
        <w:t>及時間</w:t>
      </w:r>
    </w:p>
    <w:p>
      <w:pPr>
        <w:numPr>
          <w:ilvl w:val="0"/>
          <w:numId w:val="7"/>
        </w:numPr>
        <w:tabs>
          <w:tab w:val="left" w:pos="1134"/>
          <w:tab w:val="clear" w:pos="960"/>
        </w:tabs>
        <w:adjustRightInd w:val="0"/>
        <w:snapToGrid w:val="0"/>
        <w:ind w:left="1134" w:hanging="425"/>
        <w:jc w:val="both"/>
        <w:rPr>
          <w:rFonts w:hAnsi="PMingLiU"/>
          <w:spacing w:val="20"/>
        </w:rPr>
      </w:pPr>
      <w:r>
        <w:rPr>
          <w:rFonts w:hint="eastAsia" w:hAnsi="PMingLiU"/>
          <w:spacing w:val="20"/>
        </w:rPr>
        <w:t>為方便學校安排學生作賽，大會將提供12個工作天時間予學校選擇。比賽日期為</w:t>
      </w:r>
      <w:r>
        <w:rPr>
          <w:rFonts w:hint="eastAsia" w:hAnsi="PMingLiU"/>
          <w:spacing w:val="20"/>
          <w:u w:val="single"/>
        </w:rPr>
        <w:t>2018年2月26（星期一）日至3月13日（星期二）（星期六、日除外）</w:t>
      </w:r>
      <w:r>
        <w:rPr>
          <w:rFonts w:hint="eastAsia" w:hAnsi="PMingLiU"/>
          <w:spacing w:val="20"/>
        </w:rPr>
        <w:t>，比賽網站開放時間為上午8:00至下午6:00，惟比賽結束前15分鐘會拒絕參賽學生登入。</w:t>
      </w:r>
    </w:p>
    <w:p>
      <w:pPr>
        <w:numPr>
          <w:ilvl w:val="0"/>
          <w:numId w:val="7"/>
        </w:numPr>
        <w:tabs>
          <w:tab w:val="left" w:pos="1134"/>
          <w:tab w:val="clear" w:pos="960"/>
        </w:tabs>
        <w:adjustRightInd w:val="0"/>
        <w:snapToGrid w:val="0"/>
        <w:ind w:left="1134" w:hanging="425"/>
        <w:jc w:val="both"/>
        <w:rPr>
          <w:rFonts w:hAnsi="PMingLiU"/>
          <w:spacing w:val="20"/>
        </w:rPr>
      </w:pPr>
      <w:r>
        <w:rPr>
          <w:rFonts w:hint="eastAsia" w:hAnsi="PMingLiU"/>
          <w:spacing w:val="20"/>
        </w:rPr>
        <w:t>學校可安排所有參賽學生同時作賽，或分批作賽。</w:t>
      </w:r>
    </w:p>
    <w:p>
      <w:pPr>
        <w:adjustRightInd w:val="0"/>
        <w:snapToGrid w:val="0"/>
        <w:ind w:left="96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Ansi="PMingLiU"/>
          <w:spacing w:val="20"/>
        </w:rPr>
        <w:t>參賽</w:t>
      </w:r>
      <w:r>
        <w:rPr>
          <w:rFonts w:hint="eastAsia" w:hAnsi="PMingLiU"/>
          <w:spacing w:val="20"/>
        </w:rPr>
        <w:t>人數</w:t>
      </w:r>
    </w:p>
    <w:p>
      <w:pPr>
        <w:adjustRightInd w:val="0"/>
        <w:snapToGrid w:val="0"/>
        <w:ind w:left="847" w:leftChars="353" w:firstLine="2"/>
        <w:jc w:val="both"/>
        <w:rPr>
          <w:rFonts w:hAnsi="PMingLiU"/>
          <w:spacing w:val="20"/>
        </w:rPr>
      </w:pPr>
      <w:r>
        <w:rPr>
          <w:rFonts w:hint="eastAsia" w:hAnsi="PMingLiU"/>
          <w:spacing w:val="20"/>
        </w:rPr>
        <w:t>每校</w:t>
      </w:r>
      <w:r>
        <w:rPr>
          <w:rFonts w:hAnsi="PMingLiU"/>
          <w:spacing w:val="20"/>
        </w:rPr>
        <w:t>參賽</w:t>
      </w:r>
      <w:r>
        <w:rPr>
          <w:rFonts w:hint="eastAsia" w:hAnsi="PMingLiU"/>
          <w:spacing w:val="20"/>
        </w:rPr>
        <w:t>人數不限。</w:t>
      </w:r>
    </w:p>
    <w:p>
      <w:pPr>
        <w:adjustRightInd w:val="0"/>
        <w:snapToGrid w:val="0"/>
        <w:ind w:left="720" w:leftChars="30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spacing w:val="20"/>
        </w:rPr>
        <w:t>比賽細則</w:t>
      </w:r>
    </w:p>
    <w:p>
      <w:pPr>
        <w:numPr>
          <w:ilvl w:val="0"/>
          <w:numId w:val="7"/>
        </w:numPr>
        <w:tabs>
          <w:tab w:val="left" w:pos="1134"/>
          <w:tab w:val="clear" w:pos="960"/>
        </w:tabs>
        <w:adjustRightInd w:val="0"/>
        <w:snapToGrid w:val="0"/>
        <w:ind w:left="1134" w:hanging="425"/>
        <w:jc w:val="both"/>
        <w:rPr>
          <w:rFonts w:hAnsi="PMingLiU"/>
          <w:spacing w:val="20"/>
        </w:rPr>
      </w:pPr>
      <w:r>
        <w:rPr>
          <w:rFonts w:hint="eastAsia" w:hAnsi="PMingLiU"/>
          <w:spacing w:val="20"/>
        </w:rPr>
        <w:t>採用網上問答形式進行。</w:t>
      </w:r>
    </w:p>
    <w:p>
      <w:pPr>
        <w:numPr>
          <w:ilvl w:val="0"/>
          <w:numId w:val="7"/>
        </w:numPr>
        <w:tabs>
          <w:tab w:val="left" w:pos="1134"/>
          <w:tab w:val="clear" w:pos="960"/>
        </w:tabs>
        <w:adjustRightInd w:val="0"/>
        <w:snapToGrid w:val="0"/>
        <w:ind w:left="1134" w:hanging="425"/>
        <w:jc w:val="both"/>
        <w:rPr>
          <w:rFonts w:hAnsi="PMingLiU"/>
          <w:spacing w:val="20"/>
        </w:rPr>
      </w:pPr>
      <w:r>
        <w:rPr>
          <w:rFonts w:hint="eastAsia" w:hAnsi="PMingLiU"/>
          <w:spacing w:val="20"/>
        </w:rPr>
        <w:t>為鼓勵學生學習外交知識，大會特設</w:t>
      </w:r>
      <w:r>
        <w:rPr>
          <w:rFonts w:hint="eastAsia" w:hAnsi="PMingLiU"/>
          <w:b/>
          <w:spacing w:val="20"/>
        </w:rPr>
        <w:t>7篇參考文章</w:t>
      </w:r>
      <w:r>
        <w:rPr>
          <w:rFonts w:hint="eastAsia" w:ascii="DFKai-SB" w:hAnsi="DFKai-SB" w:eastAsia="DFKai-SB"/>
          <w:spacing w:val="20"/>
        </w:rPr>
        <w:t>，</w:t>
      </w:r>
      <w:r>
        <w:rPr>
          <w:rFonts w:hint="eastAsia" w:hAnsi="PMingLiU"/>
          <w:spacing w:val="20"/>
        </w:rPr>
        <w:t>另</w:t>
      </w:r>
      <w:r>
        <w:rPr>
          <w:rFonts w:hint="eastAsia"/>
          <w:spacing w:val="20"/>
        </w:rPr>
        <w:t>提供由外交部駐香港特別行政區特派員公署及外交學院編著的</w:t>
      </w:r>
      <w:r>
        <w:rPr>
          <w:rFonts w:hint="eastAsia"/>
          <w:b/>
          <w:spacing w:val="20"/>
          <w:u w:val="single"/>
        </w:rPr>
        <w:t>《中國外交知識讀本》，</w:t>
      </w:r>
      <w:r>
        <w:rPr>
          <w:rFonts w:hint="eastAsia" w:hAnsi="PMingLiU"/>
          <w:spacing w:val="20"/>
        </w:rPr>
        <w:t>並會從中設計比賽問題。有關文章可於</w:t>
      </w:r>
      <w:r>
        <w:rPr>
          <w:rFonts w:hint="eastAsia" w:hAnsi="PMingLiU"/>
          <w:spacing w:val="20"/>
          <w:u w:val="single"/>
        </w:rPr>
        <w:t>2018年2月12日（星期一）起</w:t>
      </w:r>
      <w:r>
        <w:rPr>
          <w:rFonts w:hint="eastAsia" w:hAnsi="PMingLiU"/>
          <w:spacing w:val="20"/>
        </w:rPr>
        <w:t>於競賽網站(</w:t>
      </w:r>
      <w:r>
        <w:fldChar w:fldCharType="begin"/>
      </w:r>
      <w:r>
        <w:instrText xml:space="preserve">HYPERLINK "http://quiz.fmcoprc.gov.hk/chn/" </w:instrText>
      </w:r>
      <w:r>
        <w:fldChar w:fldCharType="separate"/>
      </w:r>
      <w:r>
        <w:rPr>
          <w:rStyle w:val="19"/>
          <w:rFonts w:hAnsi="PMingLiU"/>
          <w:color w:val="auto"/>
          <w:spacing w:val="20"/>
        </w:rPr>
        <w:t>http://quiz.fmcoprc.gov.hk/chn/</w:t>
      </w:r>
      <w:r>
        <w:fldChar w:fldCharType="end"/>
      </w:r>
      <w:r>
        <w:rPr>
          <w:rFonts w:hint="eastAsia" w:hAnsi="PMingLiU"/>
          <w:spacing w:val="20"/>
        </w:rPr>
        <w:t>) 下載。學校</w:t>
      </w:r>
      <w:r>
        <w:rPr>
          <w:rFonts w:hint="eastAsia"/>
          <w:spacing w:val="20"/>
        </w:rPr>
        <w:t>可向秘書處索取</w:t>
      </w:r>
      <w:r>
        <w:rPr>
          <w:rFonts w:hint="eastAsia"/>
          <w:b/>
          <w:spacing w:val="20"/>
          <w:u w:val="single"/>
        </w:rPr>
        <w:t>《中國外交知識讀本》</w:t>
      </w:r>
      <w:r>
        <w:rPr>
          <w:rFonts w:hint="eastAsia"/>
          <w:spacing w:val="20"/>
        </w:rPr>
        <w:t>（詳見</w:t>
      </w:r>
      <w:r>
        <w:rPr>
          <w:rFonts w:hint="eastAsia"/>
          <w:b/>
          <w:spacing w:val="20"/>
          <w:u w:val="single"/>
        </w:rPr>
        <w:t>附錄一</w:t>
      </w:r>
      <w:r>
        <w:rPr>
          <w:rFonts w:hint="eastAsia"/>
          <w:spacing w:val="20"/>
        </w:rPr>
        <w:t>）。</w:t>
      </w:r>
    </w:p>
    <w:p>
      <w:pPr>
        <w:numPr>
          <w:ilvl w:val="0"/>
          <w:numId w:val="7"/>
        </w:numPr>
        <w:tabs>
          <w:tab w:val="left" w:pos="1134"/>
          <w:tab w:val="clear" w:pos="960"/>
        </w:tabs>
        <w:adjustRightInd w:val="0"/>
        <w:snapToGrid w:val="0"/>
        <w:ind w:left="1134" w:hanging="425"/>
        <w:jc w:val="both"/>
        <w:rPr>
          <w:rFonts w:hAnsi="PMingLiU"/>
          <w:spacing w:val="20"/>
        </w:rPr>
      </w:pPr>
      <w:r>
        <w:rPr>
          <w:rFonts w:hint="eastAsia" w:hAnsi="PMingLiU"/>
          <w:spacing w:val="20"/>
        </w:rPr>
        <w:t>每名學生只可參賽一次，須答20道題目，</w:t>
      </w:r>
      <w:r>
        <w:rPr>
          <w:rFonts w:hAnsi="PMingLiU"/>
          <w:spacing w:val="20"/>
        </w:rPr>
        <w:t>限時</w:t>
      </w:r>
      <w:r>
        <w:rPr>
          <w:rFonts w:hint="eastAsia" w:hAnsi="PMingLiU"/>
          <w:spacing w:val="20"/>
        </w:rPr>
        <w:t>15</w:t>
      </w:r>
      <w:r>
        <w:rPr>
          <w:rFonts w:hAnsi="PMingLiU"/>
          <w:spacing w:val="20"/>
        </w:rPr>
        <w:t>分鐘</w:t>
      </w:r>
      <w:r>
        <w:rPr>
          <w:rFonts w:hint="eastAsia" w:hAnsi="PMingLiU"/>
          <w:spacing w:val="20"/>
        </w:rPr>
        <w:t>，每道題目</w:t>
      </w:r>
      <w:r>
        <w:rPr>
          <w:rFonts w:hAnsi="PMingLiU"/>
          <w:spacing w:val="20"/>
        </w:rPr>
        <w:t>限時</w:t>
      </w:r>
      <w:r>
        <w:rPr>
          <w:rFonts w:hint="eastAsia" w:hAnsi="PMingLiU"/>
          <w:spacing w:val="20"/>
        </w:rPr>
        <w:t>45秒。比賽以「鬥快鬥準」為準則。</w:t>
      </w:r>
    </w:p>
    <w:p>
      <w:pPr>
        <w:numPr>
          <w:ilvl w:val="0"/>
          <w:numId w:val="7"/>
        </w:numPr>
        <w:tabs>
          <w:tab w:val="left" w:pos="1134"/>
          <w:tab w:val="clear" w:pos="960"/>
        </w:tabs>
        <w:adjustRightInd w:val="0"/>
        <w:snapToGrid w:val="0"/>
        <w:ind w:left="1134" w:hanging="425"/>
        <w:jc w:val="both"/>
        <w:rPr>
          <w:rFonts w:hAnsi="PMingLiU"/>
          <w:spacing w:val="20"/>
        </w:rPr>
      </w:pPr>
      <w:r>
        <w:rPr>
          <w:rFonts w:hint="eastAsia" w:hAnsi="PMingLiU"/>
          <w:spacing w:val="20"/>
        </w:rPr>
        <w:t>為確保公平及公正，參賽學生必須在教師監察下於校內作賽。比賽時不可查閱任何資料。</w:t>
      </w:r>
    </w:p>
    <w:p>
      <w:pPr>
        <w:numPr>
          <w:ilvl w:val="0"/>
          <w:numId w:val="7"/>
        </w:numPr>
        <w:tabs>
          <w:tab w:val="left" w:pos="1134"/>
          <w:tab w:val="clear" w:pos="960"/>
        </w:tabs>
        <w:adjustRightInd w:val="0"/>
        <w:snapToGrid w:val="0"/>
        <w:ind w:left="1134" w:hanging="425"/>
        <w:jc w:val="both"/>
        <w:rPr>
          <w:rFonts w:hAnsi="PMingLiU"/>
          <w:spacing w:val="20"/>
        </w:rPr>
      </w:pPr>
      <w:r>
        <w:rPr>
          <w:rFonts w:hint="eastAsia" w:hAnsi="PMingLiU"/>
          <w:spacing w:val="20"/>
        </w:rPr>
        <w:t>參賽學生使用的電腦（如桌面電腦、手提電腦、平板電腦等）必須透過學校有線或無線網路連線至香港教育城比賽網站(</w:t>
      </w:r>
      <w:r>
        <w:fldChar w:fldCharType="begin"/>
      </w:r>
      <w:r>
        <w:instrText xml:space="preserve">HYPERLINK "http://www.hkedcity.net/diplomatic/" </w:instrText>
      </w:r>
      <w:r>
        <w:fldChar w:fldCharType="separate"/>
      </w:r>
      <w:r>
        <w:rPr>
          <w:rStyle w:val="19"/>
          <w:rFonts w:hAnsi="PMingLiU"/>
          <w:spacing w:val="20"/>
        </w:rPr>
        <w:t>http://www.hkedcity.net/</w:t>
      </w:r>
      <w:r>
        <w:rPr>
          <w:rStyle w:val="19"/>
          <w:rFonts w:hint="eastAsia" w:hAnsi="PMingLiU"/>
          <w:spacing w:val="20"/>
        </w:rPr>
        <w:t>diplomatic</w:t>
      </w:r>
      <w:r>
        <w:rPr>
          <w:rStyle w:val="19"/>
          <w:rFonts w:hAnsi="PMingLiU"/>
          <w:spacing w:val="20"/>
        </w:rPr>
        <w:t>/</w:t>
      </w:r>
      <w:r>
        <w:fldChar w:fldCharType="end"/>
      </w:r>
      <w:r>
        <w:rPr>
          <w:rFonts w:hint="eastAsia" w:hAnsi="PMingLiU"/>
          <w:spacing w:val="20"/>
        </w:rPr>
        <w:t>) 作賽。</w:t>
      </w:r>
    </w:p>
    <w:p>
      <w:pPr>
        <w:numPr>
          <w:ilvl w:val="0"/>
          <w:numId w:val="7"/>
        </w:numPr>
        <w:tabs>
          <w:tab w:val="left" w:pos="1134"/>
          <w:tab w:val="clear" w:pos="960"/>
        </w:tabs>
        <w:adjustRightInd w:val="0"/>
        <w:snapToGrid w:val="0"/>
        <w:ind w:left="1134" w:hanging="425"/>
        <w:jc w:val="both"/>
        <w:rPr>
          <w:rFonts w:hAnsi="PMingLiU"/>
          <w:spacing w:val="20"/>
        </w:rPr>
      </w:pPr>
      <w:r>
        <w:rPr>
          <w:rFonts w:hint="eastAsia" w:hAnsi="PMingLiU"/>
          <w:spacing w:val="20"/>
        </w:rPr>
        <w:t>以每校最高分</w:t>
      </w:r>
      <w:r>
        <w:rPr>
          <w:rFonts w:hAnsi="PMingLiU"/>
          <w:spacing w:val="20"/>
        </w:rPr>
        <w:t>數</w:t>
      </w:r>
      <w:r>
        <w:rPr>
          <w:rFonts w:hint="eastAsia" w:hAnsi="PMingLiU"/>
          <w:spacing w:val="20"/>
        </w:rPr>
        <w:t>5名</w:t>
      </w:r>
      <w:r>
        <w:rPr>
          <w:rFonts w:hAnsi="PMingLiU"/>
          <w:spacing w:val="20"/>
        </w:rPr>
        <w:t>參賽者的分數總和</w:t>
      </w:r>
      <w:r>
        <w:rPr>
          <w:rFonts w:hint="eastAsia" w:hAnsi="PMingLiU"/>
          <w:spacing w:val="20"/>
        </w:rPr>
        <w:t>定出名次（如學校少於5人參賽，則計算所有參賽者的總成績），若</w:t>
      </w:r>
      <w:r>
        <w:rPr>
          <w:rFonts w:hAnsi="PMingLiU"/>
          <w:spacing w:val="20"/>
        </w:rPr>
        <w:t>分數相同則</w:t>
      </w:r>
      <w:r>
        <w:rPr>
          <w:rFonts w:hint="eastAsia" w:hAnsi="PMingLiU"/>
          <w:spacing w:val="20"/>
        </w:rPr>
        <w:t>比較時間。</w:t>
      </w:r>
    </w:p>
    <w:p>
      <w:pPr>
        <w:numPr>
          <w:ilvl w:val="0"/>
          <w:numId w:val="7"/>
        </w:numPr>
        <w:tabs>
          <w:tab w:val="left" w:pos="1134"/>
          <w:tab w:val="clear" w:pos="960"/>
        </w:tabs>
        <w:adjustRightInd w:val="0"/>
        <w:snapToGrid w:val="0"/>
        <w:ind w:left="1134" w:hanging="425"/>
        <w:jc w:val="both"/>
        <w:rPr>
          <w:rFonts w:hAnsi="PMingLiU"/>
          <w:spacing w:val="20"/>
        </w:rPr>
      </w:pPr>
      <w:r>
        <w:rPr>
          <w:rFonts w:hint="eastAsia" w:hAnsi="PMingLiU"/>
          <w:spacing w:val="20"/>
        </w:rPr>
        <w:t>其他比賽細則，容後另函通知參賽學校。</w:t>
      </w:r>
    </w:p>
    <w:p>
      <w:pPr>
        <w:adjustRightInd w:val="0"/>
        <w:snapToGrid w:val="0"/>
        <w:ind w:left="96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spacing w:val="20"/>
        </w:rPr>
        <w:t>賽前測試</w:t>
      </w:r>
    </w:p>
    <w:p>
      <w:pPr>
        <w:adjustRightInd w:val="0"/>
        <w:snapToGrid w:val="0"/>
        <w:ind w:left="850" w:leftChars="354"/>
        <w:jc w:val="both"/>
        <w:rPr>
          <w:rFonts w:hAnsi="PMingLiU"/>
          <w:spacing w:val="20"/>
        </w:rPr>
      </w:pPr>
      <w:r>
        <w:rPr>
          <w:rFonts w:hint="eastAsia" w:hAnsi="PMingLiU"/>
          <w:spacing w:val="20"/>
        </w:rPr>
        <w:t>大會將提供5天時間予參賽學生登入香港教育城網站(</w:t>
      </w:r>
      <w:r>
        <w:fldChar w:fldCharType="begin"/>
      </w:r>
      <w:r>
        <w:instrText xml:space="preserve">HYPERLINK "http://www.hkedcity.net/diplomatic/" </w:instrText>
      </w:r>
      <w:r>
        <w:fldChar w:fldCharType="separate"/>
      </w:r>
      <w:r>
        <w:rPr>
          <w:rStyle w:val="19"/>
          <w:rFonts w:hAnsi="PMingLiU"/>
          <w:spacing w:val="20"/>
        </w:rPr>
        <w:t>http://www.hkedcity.net/</w:t>
      </w:r>
      <w:r>
        <w:rPr>
          <w:rStyle w:val="19"/>
          <w:rFonts w:hint="eastAsia" w:hAnsi="PMingLiU"/>
          <w:spacing w:val="20"/>
        </w:rPr>
        <w:t>diplomatic</w:t>
      </w:r>
      <w:r>
        <w:rPr>
          <w:rStyle w:val="19"/>
          <w:rFonts w:hAnsi="PMingLiU"/>
          <w:spacing w:val="20"/>
        </w:rPr>
        <w:t>/</w:t>
      </w:r>
      <w:r>
        <w:fldChar w:fldCharType="end"/>
      </w:r>
      <w:r>
        <w:rPr>
          <w:rFonts w:hint="eastAsia" w:hAnsi="PMingLiU"/>
          <w:spacing w:val="20"/>
        </w:rPr>
        <w:t>) 進行賽前測試，以助他們了解比賽的方法。測試日為</w:t>
      </w:r>
      <w:r>
        <w:rPr>
          <w:rFonts w:hint="eastAsia" w:hAnsi="PMingLiU"/>
          <w:spacing w:val="20"/>
          <w:u w:val="single"/>
        </w:rPr>
        <w:t>2018年2月5日（星期一）至9日（星期五）</w:t>
      </w:r>
      <w:r>
        <w:rPr>
          <w:rFonts w:hint="eastAsia" w:hAnsi="PMingLiU"/>
          <w:spacing w:val="20"/>
        </w:rPr>
        <w:t>，網站開放時間為上午8:00至下午6:00。</w:t>
      </w:r>
    </w:p>
    <w:p>
      <w:pPr>
        <w:adjustRightInd w:val="0"/>
        <w:snapToGrid w:val="0"/>
        <w:ind w:left="96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Ansi="PMingLiU"/>
          <w:spacing w:val="20"/>
        </w:rPr>
        <w:t>獎勵</w:t>
      </w:r>
    </w:p>
    <w:p>
      <w:pPr>
        <w:numPr>
          <w:ilvl w:val="0"/>
          <w:numId w:val="8"/>
        </w:numPr>
        <w:tabs>
          <w:tab w:val="left" w:pos="1134"/>
          <w:tab w:val="clear" w:pos="960"/>
        </w:tabs>
        <w:adjustRightInd w:val="0"/>
        <w:snapToGrid w:val="0"/>
        <w:ind w:left="1134" w:hanging="425"/>
        <w:jc w:val="both"/>
        <w:rPr>
          <w:rFonts w:hAnsi="PMingLiU"/>
          <w:spacing w:val="20"/>
        </w:rPr>
      </w:pPr>
      <w:r>
        <w:rPr>
          <w:rFonts w:hAnsi="PMingLiU"/>
          <w:spacing w:val="20"/>
        </w:rPr>
        <w:t>比賽</w:t>
      </w:r>
      <w:r>
        <w:rPr>
          <w:rFonts w:hint="eastAsia" w:hAnsi="PMingLiU"/>
          <w:spacing w:val="20"/>
        </w:rPr>
        <w:t>設</w:t>
      </w:r>
      <w:r>
        <w:rPr>
          <w:rFonts w:hAnsi="PMingLiU"/>
          <w:spacing w:val="20"/>
        </w:rPr>
        <w:t>冠、亞、季軍</w:t>
      </w:r>
      <w:r>
        <w:rPr>
          <w:rFonts w:hint="eastAsia" w:hAnsi="PMingLiU"/>
          <w:spacing w:val="20"/>
        </w:rPr>
        <w:t>及10</w:t>
      </w:r>
      <w:r>
        <w:rPr>
          <w:rFonts w:hAnsi="PMingLiU"/>
          <w:spacing w:val="20"/>
        </w:rPr>
        <w:t>名優異獎</w:t>
      </w:r>
      <w:r>
        <w:rPr>
          <w:rFonts w:hint="eastAsia" w:hAnsi="PMingLiU"/>
          <w:spacing w:val="20"/>
        </w:rPr>
        <w:t>，每名得獎學生會獲頒發獎狀及香港迪士尼樂園門票，所屬學校會獲頒贈獎盃</w:t>
      </w:r>
      <w:r>
        <w:rPr>
          <w:rFonts w:hAnsi="PMingLiU"/>
          <w:spacing w:val="20"/>
        </w:rPr>
        <w:t>及</w:t>
      </w:r>
      <w:r>
        <w:rPr>
          <w:rFonts w:hint="eastAsia" w:hAnsi="PMingLiU"/>
          <w:spacing w:val="20"/>
        </w:rPr>
        <w:t>書券。</w:t>
      </w:r>
    </w:p>
    <w:p>
      <w:pPr>
        <w:numPr>
          <w:ilvl w:val="0"/>
          <w:numId w:val="8"/>
        </w:numPr>
        <w:tabs>
          <w:tab w:val="left" w:pos="1134"/>
          <w:tab w:val="clear" w:pos="960"/>
        </w:tabs>
        <w:adjustRightInd w:val="0"/>
        <w:snapToGrid w:val="0"/>
        <w:ind w:left="1134" w:hanging="425"/>
        <w:jc w:val="both"/>
      </w:pPr>
      <w:r>
        <w:rPr>
          <w:rFonts w:hint="eastAsia" w:hAnsi="PMingLiU"/>
          <w:spacing w:val="20"/>
        </w:rPr>
        <w:t>為鼓勵學校積極參賽，大會設有下列學校獎項，得獎學校會獲頒贈獎盃</w:t>
      </w:r>
      <w:r>
        <w:rPr>
          <w:rFonts w:hAnsi="PMingLiU"/>
          <w:spacing w:val="20"/>
        </w:rPr>
        <w:t>及</w:t>
      </w:r>
      <w:r>
        <w:rPr>
          <w:rFonts w:hint="eastAsia" w:hAnsi="PMingLiU"/>
          <w:spacing w:val="20"/>
        </w:rPr>
        <w:t>書券：</w:t>
      </w:r>
      <w:r>
        <w:rPr>
          <w:rFonts w:hint="eastAsia"/>
          <w:spacing w:val="20"/>
        </w:rPr>
        <w:t xml:space="preserve">    </w:t>
      </w:r>
      <w:r>
        <w:rPr>
          <w:rFonts w:hint="eastAsia"/>
        </w:rPr>
        <w:t xml:space="preserve">   </w:t>
      </w:r>
    </w:p>
    <w:p>
      <w:pPr>
        <w:numPr>
          <w:ilvl w:val="0"/>
          <w:numId w:val="4"/>
        </w:numPr>
        <w:tabs>
          <w:tab w:val="left" w:pos="1418"/>
          <w:tab w:val="left" w:pos="1701"/>
          <w:tab w:val="clear" w:pos="1256"/>
        </w:tabs>
        <w:adjustRightInd w:val="0"/>
        <w:snapToGrid w:val="0"/>
        <w:ind w:left="1418"/>
        <w:jc w:val="both"/>
        <w:rPr>
          <w:rFonts w:hAnsi="PMingLiU"/>
          <w:spacing w:val="20"/>
        </w:rPr>
      </w:pPr>
      <w:r>
        <w:rPr>
          <w:rFonts w:hint="eastAsia" w:hAnsi="PMingLiU"/>
          <w:spacing w:val="20"/>
        </w:rPr>
        <w:t>「最佳表現學校獎」：比較每校首100名最高分</w:t>
      </w:r>
      <w:r>
        <w:rPr>
          <w:rFonts w:hAnsi="PMingLiU"/>
          <w:spacing w:val="20"/>
        </w:rPr>
        <w:t>數</w:t>
      </w:r>
      <w:r>
        <w:rPr>
          <w:rFonts w:hint="eastAsia" w:hAnsi="PMingLiU"/>
          <w:spacing w:val="20"/>
        </w:rPr>
        <w:t>學生的總成績（如學校少於100人參賽，則計算所有參賽者的總成績），若</w:t>
      </w:r>
      <w:r>
        <w:rPr>
          <w:rFonts w:hAnsi="PMingLiU"/>
          <w:spacing w:val="20"/>
        </w:rPr>
        <w:t>分數相同則</w:t>
      </w:r>
      <w:r>
        <w:rPr>
          <w:rFonts w:hint="eastAsia" w:hAnsi="PMingLiU"/>
          <w:spacing w:val="20"/>
        </w:rPr>
        <w:t>比較時間，以定出「最佳表現學校獎」。</w:t>
      </w:r>
    </w:p>
    <w:p>
      <w:pPr>
        <w:tabs>
          <w:tab w:val="left" w:pos="1701"/>
        </w:tabs>
        <w:adjustRightInd w:val="0"/>
        <w:snapToGrid w:val="0"/>
        <w:ind w:left="1418"/>
        <w:jc w:val="both"/>
        <w:rPr>
          <w:rFonts w:hAnsi="PMingLiU"/>
          <w:spacing w:val="20"/>
        </w:rPr>
      </w:pPr>
    </w:p>
    <w:p>
      <w:pPr>
        <w:numPr>
          <w:ilvl w:val="0"/>
          <w:numId w:val="4"/>
        </w:numPr>
        <w:tabs>
          <w:tab w:val="left" w:pos="1418"/>
          <w:tab w:val="left" w:pos="1701"/>
          <w:tab w:val="clear" w:pos="1256"/>
        </w:tabs>
        <w:adjustRightInd w:val="0"/>
        <w:snapToGrid w:val="0"/>
        <w:ind w:left="1418"/>
        <w:jc w:val="both"/>
        <w:rPr>
          <w:rFonts w:hAnsi="PMingLiU"/>
          <w:spacing w:val="20"/>
        </w:rPr>
      </w:pPr>
      <w:r>
        <w:rPr>
          <w:rFonts w:hint="eastAsia" w:hAnsi="PMingLiU"/>
          <w:spacing w:val="20"/>
        </w:rPr>
        <w:t>「最佳新秀獎」：比較過往三年沒有參加「香港盃外交知識競賽」的學校，每校首100名最高分</w:t>
      </w:r>
      <w:r>
        <w:rPr>
          <w:rFonts w:hAnsi="PMingLiU"/>
          <w:spacing w:val="20"/>
        </w:rPr>
        <w:t>數</w:t>
      </w:r>
      <w:r>
        <w:rPr>
          <w:rFonts w:hint="eastAsia" w:hAnsi="PMingLiU"/>
          <w:spacing w:val="20"/>
        </w:rPr>
        <w:t>學生的總成績（如學校少於100人參賽，則計算所有參賽者的總成績），若</w:t>
      </w:r>
      <w:r>
        <w:rPr>
          <w:rFonts w:hAnsi="PMingLiU"/>
          <w:spacing w:val="20"/>
        </w:rPr>
        <w:t>分數相同則</w:t>
      </w:r>
      <w:r>
        <w:rPr>
          <w:rFonts w:hint="eastAsia" w:hAnsi="PMingLiU"/>
          <w:spacing w:val="20"/>
        </w:rPr>
        <w:t>比較時間，以定出「最佳新秀獎」。</w:t>
      </w:r>
    </w:p>
    <w:p>
      <w:pPr>
        <w:tabs>
          <w:tab w:val="left" w:pos="1701"/>
        </w:tabs>
        <w:adjustRightInd w:val="0"/>
        <w:snapToGrid w:val="0"/>
        <w:ind w:left="1418"/>
        <w:jc w:val="both"/>
        <w:rPr>
          <w:rFonts w:hAnsi="PMingLiU"/>
          <w:spacing w:val="20"/>
        </w:rPr>
      </w:pPr>
    </w:p>
    <w:p>
      <w:pPr>
        <w:numPr>
          <w:ilvl w:val="0"/>
          <w:numId w:val="4"/>
        </w:numPr>
        <w:tabs>
          <w:tab w:val="left" w:pos="1418"/>
          <w:tab w:val="left" w:pos="1701"/>
          <w:tab w:val="clear" w:pos="1256"/>
        </w:tabs>
        <w:overflowPunct w:val="0"/>
        <w:adjustRightInd w:val="0"/>
        <w:snapToGrid w:val="0"/>
        <w:ind w:left="1418" w:hanging="482"/>
        <w:jc w:val="both"/>
        <w:rPr>
          <w:rFonts w:hAnsi="PMingLiU"/>
          <w:spacing w:val="20"/>
        </w:rPr>
      </w:pPr>
      <w:r>
        <w:rPr>
          <w:rFonts w:hint="eastAsia" w:hAnsi="PMingLiU"/>
          <w:spacing w:val="20"/>
        </w:rPr>
        <w:t>「最踴躍參與學校獎」：為表揚一直支持「</w:t>
      </w:r>
      <w:r>
        <w:rPr>
          <w:rFonts w:hAnsi="PMingLiU"/>
          <w:spacing w:val="20"/>
        </w:rPr>
        <w:t>香港</w:t>
      </w:r>
      <w:r>
        <w:rPr>
          <w:rFonts w:hint="eastAsia" w:hAnsi="PMingLiU"/>
          <w:spacing w:val="20"/>
        </w:rPr>
        <w:t>盃外交知識競賽」的學校，最近五年一直參加外交知識競賽的學校會獲「踴躍參與學校獎」，並獲贈錦旗。當中，本屆學生作答人數比例最高的學校，會獲「最踴躍參與學校獎」。</w:t>
      </w:r>
    </w:p>
    <w:p>
      <w:pPr>
        <w:adjustRightInd w:val="0"/>
        <w:snapToGrid w:val="0"/>
        <w:ind w:left="776"/>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spacing w:val="20"/>
        </w:rPr>
        <w:t>賽果公布</w:t>
      </w:r>
    </w:p>
    <w:p>
      <w:pPr>
        <w:adjustRightInd w:val="0"/>
        <w:snapToGrid w:val="0"/>
        <w:ind w:left="850" w:leftChars="354"/>
        <w:jc w:val="both"/>
        <w:rPr>
          <w:rFonts w:hAnsi="PMingLiU"/>
          <w:spacing w:val="20"/>
        </w:rPr>
      </w:pPr>
      <w:r>
        <w:rPr>
          <w:rFonts w:hAnsi="PMingLiU"/>
          <w:spacing w:val="20"/>
        </w:rPr>
        <w:t>比賽</w:t>
      </w:r>
      <w:r>
        <w:rPr>
          <w:rFonts w:hint="eastAsia" w:hAnsi="PMingLiU"/>
          <w:spacing w:val="20"/>
        </w:rPr>
        <w:t>結果將</w:t>
      </w:r>
      <w:r>
        <w:rPr>
          <w:rFonts w:hAnsi="PMingLiU"/>
          <w:spacing w:val="20"/>
        </w:rPr>
        <w:t>於</w:t>
      </w:r>
      <w:r>
        <w:rPr>
          <w:rFonts w:hAnsi="PMingLiU"/>
          <w:spacing w:val="20"/>
          <w:u w:val="single"/>
        </w:rPr>
        <w:t>20</w:t>
      </w:r>
      <w:r>
        <w:rPr>
          <w:rFonts w:hint="eastAsia" w:hAnsi="PMingLiU"/>
          <w:spacing w:val="20"/>
          <w:u w:val="single"/>
        </w:rPr>
        <w:t>18</w:t>
      </w:r>
      <w:r>
        <w:rPr>
          <w:rFonts w:hAnsi="PMingLiU"/>
          <w:spacing w:val="20"/>
          <w:u w:val="single"/>
        </w:rPr>
        <w:t>年</w:t>
      </w:r>
      <w:r>
        <w:rPr>
          <w:rFonts w:hint="eastAsia" w:hAnsi="PMingLiU"/>
          <w:spacing w:val="20"/>
          <w:u w:val="single"/>
        </w:rPr>
        <w:t>3</w:t>
      </w:r>
      <w:r>
        <w:rPr>
          <w:rFonts w:hAnsi="PMingLiU"/>
          <w:spacing w:val="20"/>
          <w:u w:val="single"/>
        </w:rPr>
        <w:t>月</w:t>
      </w:r>
      <w:r>
        <w:rPr>
          <w:rFonts w:hint="eastAsia" w:hAnsi="PMingLiU"/>
          <w:spacing w:val="20"/>
          <w:u w:val="single"/>
        </w:rPr>
        <w:t>23</w:t>
      </w:r>
      <w:r>
        <w:rPr>
          <w:rFonts w:hAnsi="PMingLiU"/>
          <w:spacing w:val="20"/>
          <w:u w:val="single"/>
        </w:rPr>
        <w:t>日</w:t>
      </w:r>
      <w:r>
        <w:rPr>
          <w:rFonts w:hint="eastAsia" w:hAnsi="PMingLiU"/>
          <w:spacing w:val="20"/>
          <w:u w:val="single"/>
        </w:rPr>
        <w:t>（星期五）或以</w:t>
      </w:r>
      <w:r>
        <w:rPr>
          <w:rFonts w:hAnsi="PMingLiU"/>
          <w:spacing w:val="20"/>
          <w:u w:val="single"/>
        </w:rPr>
        <w:t>前</w:t>
      </w:r>
      <w:r>
        <w:rPr>
          <w:rFonts w:hint="eastAsia" w:hAnsi="PMingLiU"/>
          <w:spacing w:val="20"/>
        </w:rPr>
        <w:t>在競賽網站及薪火相傳平台網站公布，得獎學校將獲專函通知。</w:t>
      </w:r>
    </w:p>
    <w:p>
      <w:pPr>
        <w:tabs>
          <w:tab w:val="left" w:pos="720"/>
        </w:tabs>
        <w:adjustRightInd w:val="0"/>
        <w:snapToGrid w:val="0"/>
        <w:ind w:left="720" w:hanging="720" w:hangingChars="300"/>
      </w:pPr>
      <w:r>
        <w:rPr>
          <w:rFonts w:hint="eastAsia"/>
        </w:rPr>
        <w:t xml:space="preserve"> </w:t>
      </w:r>
    </w:p>
    <w:p>
      <w:pPr>
        <w:adjustRightInd w:val="0"/>
        <w:snapToGrid w:val="0"/>
        <w:rPr>
          <w:b/>
          <w:spacing w:val="20"/>
          <w:u w:val="single"/>
        </w:rPr>
      </w:pPr>
      <w:r>
        <w:rPr>
          <w:rFonts w:hint="eastAsia" w:hAnsi="PMingLiU"/>
          <w:b/>
          <w:spacing w:val="20"/>
          <w:u w:val="single"/>
        </w:rPr>
        <w:t>報名方法及截止報名日期</w:t>
      </w: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spacing w:val="20"/>
        </w:rPr>
        <w:t>擬提名學生參賽的學校，請於</w:t>
      </w:r>
      <w:r>
        <w:rPr>
          <w:rFonts w:hint="eastAsia"/>
          <w:spacing w:val="20"/>
          <w:u w:val="single"/>
        </w:rPr>
        <w:t>2017年12月20日起</w:t>
      </w:r>
      <w:r>
        <w:rPr>
          <w:rFonts w:hint="eastAsia" w:hAnsi="PMingLiU"/>
          <w:spacing w:val="20"/>
        </w:rPr>
        <w:t>登入香港教育城網站 (</w:t>
      </w:r>
      <w:r>
        <w:fldChar w:fldCharType="begin"/>
      </w:r>
      <w:r>
        <w:instrText xml:space="preserve">HYPERLINK "http://www.hkedcity.net/registration/edb/" </w:instrText>
      </w:r>
      <w:r>
        <w:fldChar w:fldCharType="separate"/>
      </w:r>
      <w:r>
        <w:rPr>
          <w:rStyle w:val="19"/>
          <w:rFonts w:hint="eastAsia" w:hAnsi="PMingLiU"/>
          <w:spacing w:val="20"/>
        </w:rPr>
        <w:t>http://www.hkedcity.net/registration/edb/</w:t>
      </w:r>
      <w:r>
        <w:fldChar w:fldCharType="end"/>
      </w:r>
      <w:r>
        <w:rPr>
          <w:rFonts w:hint="eastAsia" w:hAnsi="PMingLiU"/>
          <w:spacing w:val="20"/>
        </w:rPr>
        <w:t>)，按指示填妥及提交「參賽提名表」</w:t>
      </w:r>
      <w:r>
        <w:rPr>
          <w:rFonts w:hint="eastAsia"/>
          <w:spacing w:val="20"/>
        </w:rPr>
        <w:t>，截止報名日期為</w:t>
      </w:r>
      <w:r>
        <w:rPr>
          <w:rFonts w:hint="eastAsia" w:hAnsi="PMingLiU"/>
          <w:spacing w:val="20"/>
          <w:u w:val="single"/>
        </w:rPr>
        <w:t>2018年1月19日（星期五）</w:t>
      </w:r>
      <w:r>
        <w:rPr>
          <w:rFonts w:hint="eastAsia" w:hAnsi="PMingLiU"/>
          <w:spacing w:val="20"/>
        </w:rPr>
        <w:t>。</w:t>
      </w:r>
    </w:p>
    <w:p>
      <w:pPr>
        <w:numPr>
          <w:ilvl w:val="0"/>
          <w:numId w:val="2"/>
        </w:numPr>
        <w:tabs>
          <w:tab w:val="left" w:pos="851"/>
          <w:tab w:val="left" w:pos="3402"/>
          <w:tab w:val="clear" w:pos="960"/>
        </w:tabs>
        <w:adjustRightInd w:val="0"/>
        <w:snapToGrid w:val="0"/>
        <w:ind w:left="851"/>
        <w:jc w:val="both"/>
        <w:rPr>
          <w:rFonts w:hAnsi="PMingLiU"/>
          <w:spacing w:val="20"/>
        </w:rPr>
      </w:pPr>
      <w:r>
        <w:rPr>
          <w:rFonts w:hAnsi="PMingLiU"/>
          <w:spacing w:val="20"/>
        </w:rPr>
        <w:t>資料將用於</w:t>
      </w:r>
      <w:r>
        <w:rPr>
          <w:rFonts w:hint="eastAsia" w:hAnsi="PMingLiU"/>
          <w:spacing w:val="20"/>
        </w:rPr>
        <w:t>安排競賽用途</w:t>
      </w:r>
      <w:r>
        <w:rPr>
          <w:rFonts w:hAnsi="PMingLiU"/>
          <w:spacing w:val="20"/>
        </w:rPr>
        <w:t>。務請於遞交前核對所輸入的資料，確保正確無誤。</w:t>
      </w:r>
    </w:p>
    <w:p>
      <w:pPr>
        <w:tabs>
          <w:tab w:val="left" w:pos="540"/>
        </w:tabs>
        <w:adjustRightInd w:val="0"/>
        <w:snapToGrid w:val="0"/>
        <w:jc w:val="both"/>
        <w:rPr>
          <w:rFonts w:hAnsi="PMingLiU"/>
          <w:spacing w:val="20"/>
        </w:rPr>
      </w:pPr>
    </w:p>
    <w:p>
      <w:pPr>
        <w:tabs>
          <w:tab w:val="left" w:pos="540"/>
        </w:tabs>
        <w:adjustRightInd w:val="0"/>
        <w:snapToGrid w:val="0"/>
        <w:jc w:val="both"/>
        <w:rPr>
          <w:rFonts w:hAnsi="PMingLiU"/>
          <w:b/>
          <w:spacing w:val="20"/>
          <w:u w:val="single"/>
        </w:rPr>
      </w:pPr>
      <w:r>
        <w:rPr>
          <w:rFonts w:hint="eastAsia" w:hAnsi="PMingLiU"/>
          <w:b/>
          <w:spacing w:val="20"/>
          <w:u w:val="single"/>
        </w:rPr>
        <w:t>頒獎禮</w:t>
      </w:r>
    </w:p>
    <w:p>
      <w:pPr>
        <w:tabs>
          <w:tab w:val="left" w:pos="709"/>
          <w:tab w:val="left" w:pos="3402"/>
        </w:tabs>
        <w:adjustRightInd w:val="0"/>
        <w:snapToGrid w:val="0"/>
        <w:ind w:left="283" w:leftChars="118"/>
        <w:jc w:val="both"/>
        <w:rPr>
          <w:rFonts w:hAnsi="PMingLiU"/>
          <w:spacing w:val="20"/>
        </w:rPr>
      </w:pPr>
      <w:r>
        <w:rPr>
          <w:rFonts w:hint="eastAsia" w:hAnsi="PMingLiU"/>
          <w:spacing w:val="20"/>
        </w:rPr>
        <w:t>頒獎禮安排在</w:t>
      </w:r>
      <w:r>
        <w:rPr>
          <w:rFonts w:hAnsi="PMingLiU"/>
          <w:spacing w:val="20"/>
          <w:u w:val="single"/>
        </w:rPr>
        <w:t>20</w:t>
      </w:r>
      <w:r>
        <w:rPr>
          <w:rFonts w:hint="eastAsia" w:hAnsi="PMingLiU"/>
          <w:spacing w:val="20"/>
          <w:u w:val="single"/>
        </w:rPr>
        <w:t>18</w:t>
      </w:r>
      <w:r>
        <w:rPr>
          <w:rFonts w:hAnsi="PMingLiU"/>
          <w:spacing w:val="20"/>
          <w:u w:val="single"/>
        </w:rPr>
        <w:t>年</w:t>
      </w:r>
      <w:r>
        <w:rPr>
          <w:rFonts w:hint="eastAsia" w:hAnsi="PMingLiU"/>
          <w:spacing w:val="20"/>
          <w:u w:val="single"/>
        </w:rPr>
        <w:t>5月</w:t>
      </w:r>
      <w:r>
        <w:rPr>
          <w:rFonts w:hAnsi="PMingLiU"/>
          <w:spacing w:val="20"/>
        </w:rPr>
        <w:t>第</w:t>
      </w:r>
      <w:r>
        <w:rPr>
          <w:rFonts w:hint="eastAsia" w:hAnsi="PMingLiU"/>
          <w:spacing w:val="20"/>
        </w:rPr>
        <w:t>十二</w:t>
      </w:r>
      <w:r>
        <w:rPr>
          <w:rFonts w:hAnsi="PMingLiU"/>
          <w:spacing w:val="20"/>
        </w:rPr>
        <w:t>屆</w:t>
      </w:r>
      <w:r>
        <w:rPr>
          <w:rFonts w:hint="eastAsia" w:hAnsi="PMingLiU"/>
          <w:spacing w:val="20"/>
        </w:rPr>
        <w:t>「</w:t>
      </w:r>
      <w:r>
        <w:rPr>
          <w:rFonts w:hAnsi="PMingLiU"/>
          <w:spacing w:val="20"/>
        </w:rPr>
        <w:t>香港</w:t>
      </w:r>
      <w:r>
        <w:rPr>
          <w:rFonts w:hint="eastAsia" w:hAnsi="PMingLiU"/>
          <w:spacing w:val="20"/>
        </w:rPr>
        <w:t>盃</w:t>
      </w:r>
      <w:r>
        <w:rPr>
          <w:rFonts w:hAnsi="PMingLiU"/>
          <w:spacing w:val="20"/>
        </w:rPr>
        <w:t>外交知識競賽</w:t>
      </w:r>
      <w:r>
        <w:rPr>
          <w:rFonts w:hint="eastAsia" w:hAnsi="PMingLiU"/>
          <w:spacing w:val="20"/>
        </w:rPr>
        <w:t>」決</w:t>
      </w:r>
      <w:r>
        <w:rPr>
          <w:rFonts w:hAnsi="PMingLiU"/>
          <w:spacing w:val="20"/>
        </w:rPr>
        <w:t>賽</w:t>
      </w:r>
      <w:r>
        <w:rPr>
          <w:rFonts w:hint="eastAsia" w:hAnsi="PMingLiU"/>
          <w:spacing w:val="20"/>
        </w:rPr>
        <w:t>日舉行（</w:t>
      </w:r>
      <w:r>
        <w:rPr>
          <w:rFonts w:hint="eastAsia" w:hAnsi="PMingLiU"/>
          <w:spacing w:val="20"/>
          <w:u w:val="single"/>
        </w:rPr>
        <w:t>確實日期容後通知）</w:t>
      </w:r>
      <w:r>
        <w:rPr>
          <w:rFonts w:hint="eastAsia" w:hAnsi="PMingLiU"/>
          <w:spacing w:val="20"/>
        </w:rPr>
        <w:t>。</w:t>
      </w:r>
    </w:p>
    <w:p>
      <w:pPr>
        <w:tabs>
          <w:tab w:val="left" w:pos="540"/>
        </w:tabs>
        <w:adjustRightInd w:val="0"/>
        <w:snapToGrid w:val="0"/>
        <w:jc w:val="both"/>
        <w:rPr>
          <w:rFonts w:hAnsi="PMingLiU"/>
          <w:spacing w:val="20"/>
        </w:rPr>
      </w:pPr>
    </w:p>
    <w:p>
      <w:pPr>
        <w:adjustRightInd w:val="0"/>
        <w:snapToGrid w:val="0"/>
        <w:rPr>
          <w:rFonts w:hAnsi="PMingLiU"/>
          <w:b/>
          <w:spacing w:val="20"/>
          <w:u w:val="single"/>
        </w:rPr>
      </w:pPr>
      <w:r>
        <w:rPr>
          <w:rFonts w:hAnsi="PMingLiU"/>
          <w:b/>
          <w:spacing w:val="20"/>
          <w:u w:val="single"/>
        </w:rPr>
        <w:t>參考網頁</w:t>
      </w:r>
    </w:p>
    <w:p>
      <w:pPr>
        <w:numPr>
          <w:ilvl w:val="0"/>
          <w:numId w:val="2"/>
        </w:numPr>
        <w:tabs>
          <w:tab w:val="left" w:pos="851"/>
          <w:tab w:val="clear" w:pos="960"/>
        </w:tabs>
        <w:adjustRightInd w:val="0"/>
        <w:snapToGrid w:val="0"/>
        <w:ind w:left="851"/>
        <w:rPr>
          <w:rFonts w:ascii="PMingLiU" w:hAnsi="PMingLiU"/>
          <w:spacing w:val="20"/>
        </w:rPr>
      </w:pPr>
      <w:r>
        <w:rPr>
          <w:rFonts w:hint="eastAsia" w:ascii="PMingLiU" w:hAnsi="PMingLiU"/>
          <w:spacing w:val="20"/>
        </w:rPr>
        <w:t>競賽網站：</w:t>
      </w:r>
      <w:r>
        <w:fldChar w:fldCharType="begin"/>
      </w:r>
      <w:r>
        <w:instrText xml:space="preserve">HYPERLINK "http://quiz.fmcoprc.gov.hk/" </w:instrText>
      </w:r>
      <w:r>
        <w:fldChar w:fldCharType="separate"/>
      </w:r>
      <w:r>
        <w:rPr>
          <w:rStyle w:val="19"/>
          <w:rFonts w:hAnsi="PMingLiU"/>
          <w:spacing w:val="20"/>
        </w:rPr>
        <w:t>http://quiz.fmcoprc.gov.hk</w:t>
      </w:r>
      <w:r>
        <w:fldChar w:fldCharType="end"/>
      </w:r>
    </w:p>
    <w:p>
      <w:pPr>
        <w:numPr>
          <w:ilvl w:val="0"/>
          <w:numId w:val="2"/>
        </w:numPr>
        <w:tabs>
          <w:tab w:val="left" w:pos="851"/>
          <w:tab w:val="clear" w:pos="960"/>
        </w:tabs>
        <w:adjustRightInd w:val="0"/>
        <w:snapToGrid w:val="0"/>
        <w:ind w:left="851"/>
        <w:rPr>
          <w:rStyle w:val="19"/>
          <w:rFonts w:hAnsi="PMingLiU"/>
          <w:color w:val="auto"/>
          <w:spacing w:val="20"/>
          <w:u w:val="none"/>
        </w:rPr>
      </w:pPr>
      <w:r>
        <w:rPr>
          <w:rFonts w:ascii="PMingLiU" w:hAnsi="PMingLiU"/>
          <w:spacing w:val="20"/>
        </w:rPr>
        <w:t>《明報》</w:t>
      </w:r>
      <w:r>
        <w:rPr>
          <w:rFonts w:hint="eastAsia" w:ascii="PMingLiU" w:hAnsi="PMingLiU"/>
          <w:spacing w:val="20"/>
        </w:rPr>
        <w:t>網上外交知識參考資料：</w:t>
      </w:r>
      <w:r>
        <w:fldChar w:fldCharType="begin"/>
      </w:r>
      <w:r>
        <w:instrText xml:space="preserve">HYPERLINK "http://marketing.mingpao.com/foreign_affairs/" </w:instrText>
      </w:r>
      <w:r>
        <w:fldChar w:fldCharType="separate"/>
      </w:r>
      <w:r>
        <w:rPr>
          <w:rStyle w:val="19"/>
          <w:rFonts w:hAnsi="PMingLiU"/>
          <w:spacing w:val="20"/>
        </w:rPr>
        <w:t>http://marketing.mingpao.com/foreign_affairs/</w:t>
      </w:r>
      <w:r>
        <w:fldChar w:fldCharType="end"/>
      </w:r>
    </w:p>
    <w:p>
      <w:pPr>
        <w:numPr>
          <w:ilvl w:val="0"/>
          <w:numId w:val="2"/>
        </w:numPr>
        <w:tabs>
          <w:tab w:val="left" w:pos="851"/>
          <w:tab w:val="clear" w:pos="960"/>
        </w:tabs>
        <w:adjustRightInd w:val="0"/>
        <w:snapToGrid w:val="0"/>
        <w:ind w:left="851"/>
        <w:rPr>
          <w:rFonts w:hAnsi="PMingLiU"/>
          <w:spacing w:val="20"/>
        </w:rPr>
      </w:pPr>
      <w:r>
        <w:rPr>
          <w:rStyle w:val="19"/>
          <w:rFonts w:hint="eastAsia" w:hAnsi="PMingLiU"/>
          <w:color w:val="auto"/>
          <w:spacing w:val="20"/>
          <w:u w:val="none"/>
        </w:rPr>
        <w:t>「外交知識小百科」</w:t>
      </w:r>
      <w:r>
        <w:rPr>
          <w:rFonts w:hint="eastAsia" w:ascii="PMingLiU" w:hAnsi="PMingLiU"/>
          <w:spacing w:val="20"/>
        </w:rPr>
        <w:t>網上學習平台</w:t>
      </w:r>
      <w:r>
        <w:rPr>
          <w:rStyle w:val="19"/>
          <w:rFonts w:hint="eastAsia" w:hAnsi="PMingLiU"/>
          <w:spacing w:val="20"/>
          <w:u w:val="none"/>
        </w:rPr>
        <w:t>：</w:t>
      </w:r>
      <w:r>
        <w:rPr>
          <w:rStyle w:val="19"/>
          <w:rFonts w:hint="eastAsia" w:hAnsi="PMingLiU"/>
          <w:spacing w:val="20"/>
        </w:rPr>
        <w:t>http://diplomacy.hk</w:t>
      </w:r>
      <w:r>
        <w:rPr>
          <w:rStyle w:val="19"/>
          <w:rFonts w:hint="eastAsia" w:hAnsi="PMingLiU"/>
          <w:color w:val="auto"/>
          <w:spacing w:val="20"/>
          <w:u w:val="none"/>
        </w:rPr>
        <w:t>（2018年2月12日起）</w:t>
      </w:r>
    </w:p>
    <w:p>
      <w:pPr>
        <w:adjustRightInd w:val="0"/>
        <w:snapToGrid w:val="0"/>
        <w:jc w:val="both"/>
        <w:rPr>
          <w:i/>
        </w:rPr>
      </w:pPr>
    </w:p>
    <w:p>
      <w:pPr>
        <w:adjustRightInd w:val="0"/>
        <w:snapToGrid w:val="0"/>
        <w:rPr>
          <w:b/>
          <w:spacing w:val="20"/>
          <w:u w:val="single"/>
        </w:rPr>
      </w:pPr>
      <w:r>
        <w:rPr>
          <w:rFonts w:hAnsi="PMingLiU"/>
          <w:b/>
          <w:spacing w:val="20"/>
          <w:u w:val="single"/>
        </w:rPr>
        <w:t>查詢</w:t>
      </w:r>
    </w:p>
    <w:p>
      <w:pPr>
        <w:tabs>
          <w:tab w:val="left" w:pos="709"/>
          <w:tab w:val="left" w:pos="3402"/>
        </w:tabs>
        <w:adjustRightInd w:val="0"/>
        <w:snapToGrid w:val="0"/>
        <w:ind w:left="283" w:leftChars="118"/>
        <w:jc w:val="both"/>
        <w:rPr>
          <w:rFonts w:hAnsi="PMingLiU"/>
          <w:spacing w:val="20"/>
        </w:rPr>
      </w:pPr>
      <w:r>
        <w:rPr>
          <w:rFonts w:hint="eastAsia" w:hAnsi="PMingLiU"/>
          <w:spacing w:val="20"/>
        </w:rPr>
        <w:t>如有查詢，請致電</w:t>
      </w:r>
      <w:r>
        <w:rPr>
          <w:rFonts w:hint="eastAsia"/>
          <w:spacing w:val="20"/>
        </w:rPr>
        <w:t>6234 6061或6297 8879</w:t>
      </w:r>
      <w:r>
        <w:rPr>
          <w:rFonts w:hint="eastAsia" w:hAnsi="PMingLiU"/>
          <w:spacing w:val="20"/>
        </w:rPr>
        <w:t>與</w:t>
      </w:r>
      <w:r>
        <w:rPr>
          <w:rFonts w:hAnsi="PMingLiU"/>
          <w:spacing w:val="20"/>
        </w:rPr>
        <w:t>第</w:t>
      </w:r>
      <w:r>
        <w:rPr>
          <w:rFonts w:hint="eastAsia" w:hAnsi="PMingLiU"/>
          <w:spacing w:val="20"/>
        </w:rPr>
        <w:t>十二</w:t>
      </w:r>
      <w:r>
        <w:rPr>
          <w:rFonts w:hAnsi="PMingLiU"/>
          <w:spacing w:val="20"/>
        </w:rPr>
        <w:t>屆</w:t>
      </w:r>
      <w:r>
        <w:rPr>
          <w:rFonts w:hint="eastAsia" w:hAnsi="PMingLiU"/>
          <w:spacing w:val="20"/>
        </w:rPr>
        <w:t>「</w:t>
      </w:r>
      <w:r>
        <w:rPr>
          <w:rFonts w:hAnsi="PMingLiU"/>
          <w:spacing w:val="20"/>
        </w:rPr>
        <w:t>香港</w:t>
      </w:r>
      <w:r>
        <w:rPr>
          <w:rFonts w:hint="eastAsia" w:hAnsi="PMingLiU"/>
          <w:spacing w:val="20"/>
        </w:rPr>
        <w:t>盃</w:t>
      </w:r>
      <w:r>
        <w:rPr>
          <w:rFonts w:hAnsi="PMingLiU"/>
          <w:spacing w:val="20"/>
        </w:rPr>
        <w:t>外交知識競賽</w:t>
      </w:r>
      <w:r>
        <w:rPr>
          <w:rFonts w:hint="eastAsia" w:hAnsi="PMingLiU"/>
          <w:spacing w:val="20"/>
        </w:rPr>
        <w:t>」秘書處</w:t>
      </w:r>
      <w:r>
        <w:rPr>
          <w:rFonts w:hAnsi="PMingLiU"/>
          <w:spacing w:val="20"/>
        </w:rPr>
        <w:t>聯絡。</w:t>
      </w:r>
    </w:p>
    <w:p>
      <w:pPr>
        <w:adjustRightInd w:val="0"/>
        <w:snapToGrid w:val="0"/>
        <w:ind w:left="567"/>
        <w:jc w:val="both"/>
        <w:rPr>
          <w:rFonts w:hAnsi="PMingLiU"/>
          <w:spacing w:val="20"/>
        </w:rPr>
      </w:pPr>
    </w:p>
    <w:p>
      <w:pPr>
        <w:adjustRightInd w:val="0"/>
        <w:snapToGrid w:val="0"/>
        <w:jc w:val="both"/>
        <w:rPr>
          <w:rFonts w:hAnsi="PMingLiU"/>
          <w:spacing w:val="20"/>
        </w:rPr>
      </w:pPr>
    </w:p>
    <w:p>
      <w:pPr>
        <w:adjustRightInd w:val="0"/>
        <w:snapToGrid w:val="0"/>
        <w:jc w:val="both"/>
        <w:rPr>
          <w:rFonts w:hAnsi="PMingLiU"/>
          <w:spacing w:val="20"/>
        </w:rPr>
      </w:pPr>
    </w:p>
    <w:p>
      <w:pPr>
        <w:adjustRightInd w:val="0"/>
        <w:snapToGrid w:val="0"/>
        <w:jc w:val="both"/>
        <w:rPr>
          <w:spacing w:val="20"/>
        </w:rPr>
      </w:pPr>
      <w:r>
        <w:rPr>
          <w:rFonts w:hint="eastAsia" w:hAnsi="PMingLiU"/>
          <w:i/>
          <w:spacing w:val="20"/>
        </w:rPr>
        <w:t>註：以上</w:t>
      </w:r>
      <w:r>
        <w:rPr>
          <w:rFonts w:hint="eastAsia" w:hAnsi="PMingLiU"/>
          <w:b/>
          <w:i/>
          <w:spacing w:val="20"/>
        </w:rPr>
        <w:t>《</w:t>
      </w:r>
      <w:r>
        <w:rPr>
          <w:rFonts w:hAnsi="PMingLiU"/>
          <w:b/>
          <w:i/>
          <w:spacing w:val="20"/>
        </w:rPr>
        <w:t>第</w:t>
      </w:r>
      <w:r>
        <w:rPr>
          <w:rFonts w:hint="eastAsia" w:hAnsi="PMingLiU"/>
          <w:b/>
          <w:i/>
          <w:spacing w:val="20"/>
        </w:rPr>
        <w:t>十二</w:t>
      </w:r>
      <w:r>
        <w:rPr>
          <w:rFonts w:hAnsi="PMingLiU"/>
          <w:b/>
          <w:i/>
          <w:spacing w:val="20"/>
        </w:rPr>
        <w:t>屆「香港盃外交知識競賽」</w:t>
      </w:r>
      <w:r>
        <w:rPr>
          <w:rFonts w:hint="eastAsia" w:hAnsi="PMingLiU"/>
          <w:b/>
          <w:i/>
          <w:spacing w:val="20"/>
        </w:rPr>
        <w:t>——比賽規則》</w:t>
      </w:r>
      <w:r>
        <w:rPr>
          <w:rFonts w:hint="eastAsia" w:hAnsi="PMingLiU"/>
          <w:i/>
          <w:spacing w:val="20"/>
        </w:rPr>
        <w:t>若有任何爭議，以主辦單位的解釋作準。主辦單位保留本比賽規則的最終修改權，如有任何修改，將會盡早通知參賽學校。</w:t>
      </w:r>
    </w:p>
    <w:p>
      <w:pPr>
        <w:widowControl/>
        <w:jc w:val="right"/>
        <w:rPr>
          <w:b/>
          <w:spacing w:val="20"/>
        </w:rPr>
      </w:pPr>
      <w:r>
        <w:br w:type="page"/>
      </w:r>
      <w:r>
        <w:rPr>
          <w:b/>
          <w:spacing w:val="20"/>
        </w:rPr>
        <w:t>附錄</w:t>
      </w:r>
    </w:p>
    <w:p>
      <w:pPr>
        <w:snapToGrid w:val="0"/>
        <w:spacing w:line="240" w:lineRule="atLeast"/>
        <w:rPr>
          <w:spacing w:val="20"/>
        </w:rPr>
      </w:pPr>
      <w:r>
        <w:rPr>
          <w:b/>
          <w:spacing w:val="20"/>
        </w:rPr>
        <w:t>致</w:t>
      </w:r>
      <w:r>
        <w:rPr>
          <w:spacing w:val="20"/>
        </w:rPr>
        <w:t>：</w:t>
      </w:r>
      <w:r>
        <w:rPr>
          <w:b/>
          <w:spacing w:val="20"/>
        </w:rPr>
        <w:t>第十</w:t>
      </w:r>
      <w:r>
        <w:rPr>
          <w:rFonts w:hint="eastAsia"/>
          <w:b/>
          <w:spacing w:val="20"/>
        </w:rPr>
        <w:t>二</w:t>
      </w:r>
      <w:r>
        <w:rPr>
          <w:b/>
          <w:spacing w:val="20"/>
        </w:rPr>
        <w:t>屆香港盃外交知識競賽秘書處</w:t>
      </w:r>
    </w:p>
    <w:p>
      <w:pPr>
        <w:tabs>
          <w:tab w:val="left" w:pos="840"/>
          <w:tab w:val="left" w:pos="1200"/>
        </w:tabs>
        <w:snapToGrid w:val="0"/>
        <w:spacing w:line="240" w:lineRule="atLeast"/>
        <w:rPr>
          <w:spacing w:val="20"/>
        </w:rPr>
      </w:pPr>
      <w:r>
        <w:rPr>
          <w:b/>
          <w:spacing w:val="20"/>
        </w:rPr>
        <w:t>傳真號碼：</w:t>
      </w:r>
      <w:r>
        <w:rPr>
          <w:spacing w:val="20"/>
        </w:rPr>
        <w:t>3897 9677</w:t>
      </w:r>
    </w:p>
    <w:p>
      <w:pPr>
        <w:snapToGrid w:val="0"/>
        <w:spacing w:line="240" w:lineRule="atLeast"/>
        <w:rPr>
          <w:spacing w:val="20"/>
        </w:rPr>
      </w:pPr>
    </w:p>
    <w:p>
      <w:pPr>
        <w:snapToGrid w:val="0"/>
        <w:spacing w:line="240" w:lineRule="atLeast"/>
        <w:rPr>
          <w:spacing w:val="20"/>
        </w:rPr>
      </w:pPr>
    </w:p>
    <w:p>
      <w:pPr>
        <w:snapToGrid w:val="0"/>
        <w:spacing w:after="180" w:afterLines="50" w:line="240" w:lineRule="atLeast"/>
        <w:jc w:val="center"/>
        <w:rPr>
          <w:b/>
          <w:spacing w:val="20"/>
        </w:rPr>
      </w:pPr>
      <w:r>
        <w:rPr>
          <w:b/>
          <w:spacing w:val="20"/>
        </w:rPr>
        <w:t>索取《中國外交知識讀本》</w:t>
      </w:r>
    </w:p>
    <w:p>
      <w:pPr>
        <w:adjustRightInd w:val="0"/>
        <w:snapToGrid w:val="0"/>
        <w:ind w:left="120" w:leftChars="50"/>
        <w:rPr>
          <w:b/>
          <w:spacing w:val="20"/>
        </w:rPr>
      </w:pPr>
    </w:p>
    <w:p>
      <w:pPr>
        <w:adjustRightInd w:val="0"/>
        <w:snapToGrid w:val="0"/>
        <w:ind w:left="120" w:leftChars="50" w:firstLine="686" w:firstLineChars="245"/>
        <w:rPr>
          <w:spacing w:val="20"/>
        </w:rPr>
      </w:pPr>
      <w:r>
        <w:rPr>
          <w:spacing w:val="20"/>
        </w:rPr>
        <w:t>本校擬派員到秘書處（</w:t>
      </w:r>
      <w:r>
        <w:rPr>
          <w:rFonts w:hint="eastAsia"/>
          <w:spacing w:val="20"/>
        </w:rPr>
        <w:t>德輔道中</w:t>
      </w:r>
      <w:r>
        <w:rPr>
          <w:spacing w:val="20"/>
        </w:rPr>
        <w:t>244-248</w:t>
      </w:r>
      <w:r>
        <w:rPr>
          <w:rFonts w:hint="eastAsia"/>
          <w:spacing w:val="20"/>
        </w:rPr>
        <w:t>號東協大廈</w:t>
      </w:r>
      <w:r>
        <w:rPr>
          <w:spacing w:val="20"/>
        </w:rPr>
        <w:t>11</w:t>
      </w:r>
      <w:r>
        <w:rPr>
          <w:rFonts w:hint="eastAsia"/>
          <w:spacing w:val="20"/>
        </w:rPr>
        <w:t>樓</w:t>
      </w:r>
      <w:r>
        <w:rPr>
          <w:spacing w:val="20"/>
        </w:rPr>
        <w:t>）索取上述參考資料</w:t>
      </w:r>
      <w:r>
        <w:rPr>
          <w:spacing w:val="20"/>
          <w:u w:val="single"/>
        </w:rPr>
        <w:t>　　　</w:t>
      </w:r>
      <w:r>
        <w:rPr>
          <w:spacing w:val="20"/>
        </w:rPr>
        <w:t>本。詳情如下：</w:t>
      </w:r>
    </w:p>
    <w:p>
      <w:pPr>
        <w:adjustRightInd w:val="0"/>
        <w:snapToGrid w:val="0"/>
        <w:ind w:left="120" w:leftChars="50"/>
        <w:jc w:val="center"/>
        <w:rPr>
          <w:b/>
          <w:spacing w:val="20"/>
        </w:rPr>
      </w:pPr>
      <w:r>
        <w:rPr>
          <w:rFonts w:ascii="Times New Roman" w:hAnsi="Times New Roman" w:eastAsia="PMingLiU" w:cs="Times New Roman"/>
          <w:b/>
          <w:bCs/>
          <w:spacing w:val="20"/>
          <w:kern w:val="0"/>
          <w:sz w:val="24"/>
          <w:szCs w:val="24"/>
          <w:lang w:val="en-US" w:eastAsia="zh-TW" w:bidi="ar-SA"/>
        </w:rPr>
        <mc:AlternateContent>
          <mc:Choice Requires="wps">
            <w:drawing>
              <wp:anchor distT="0" distB="0" distL="114300" distR="114300" simplePos="0" relativeHeight="251660288" behindDoc="0" locked="0" layoutInCell="1" allowOverlap="1">
                <wp:simplePos x="0" y="0"/>
                <wp:positionH relativeFrom="column">
                  <wp:posOffset>3924300</wp:posOffset>
                </wp:positionH>
                <wp:positionV relativeFrom="paragraph">
                  <wp:posOffset>1532890</wp:posOffset>
                </wp:positionV>
                <wp:extent cx="2264410" cy="2152650"/>
                <wp:effectExtent l="4445" t="4445" r="17145" b="14605"/>
                <wp:wrapNone/>
                <wp:docPr id="3" name="矩形 37"/>
                <wp:cNvGraphicFramePr/>
                <a:graphic xmlns:a="http://schemas.openxmlformats.org/drawingml/2006/main">
                  <a:graphicData uri="http://schemas.microsoft.com/office/word/2010/wordprocessingShape">
                    <wps:wsp>
                      <wps:cNvSpPr/>
                      <wps:spPr>
                        <a:xfrm>
                          <a:off x="0" y="0"/>
                          <a:ext cx="2264410" cy="2152650"/>
                        </a:xfrm>
                        <a:prstGeom prst="rect">
                          <a:avLst/>
                        </a:prstGeom>
                        <a:noFill/>
                        <a:ln w="9525" cap="flat" cmpd="sng">
                          <a:solidFill>
                            <a:srgbClr val="000000"/>
                          </a:solidFill>
                          <a:prstDash val="solid"/>
                          <a:miter/>
                          <a:headEnd type="none" w="med" len="med"/>
                          <a:tailEnd type="none" w="med" len="med"/>
                        </a:ln>
                      </wps:spPr>
                      <wps:txbx>
                        <w:txbxContent>
                          <w:p>
                            <w:pPr>
                              <w:jc w:val="center"/>
                              <w:rPr>
                                <w:spacing w:val="20"/>
                              </w:rPr>
                            </w:pPr>
                            <w:r>
                              <w:rPr>
                                <w:spacing w:val="20"/>
                              </w:rPr>
                              <w:t>校印</w:t>
                            </w:r>
                          </w:p>
                          <w:p>
                            <w:pPr>
                              <w:jc w:val="center"/>
                              <w:rPr>
                                <w:spacing w:val="20"/>
                              </w:rPr>
                            </w:pPr>
                          </w:p>
                          <w:p>
                            <w:pPr>
                              <w:jc w:val="center"/>
                              <w:rPr>
                                <w:spacing w:val="20"/>
                              </w:rPr>
                            </w:pPr>
                          </w:p>
                          <w:p>
                            <w:pPr>
                              <w:jc w:val="center"/>
                              <w:rPr>
                                <w:spacing w:val="20"/>
                              </w:rPr>
                            </w:pPr>
                          </w:p>
                          <w:p>
                            <w:pPr>
                              <w:jc w:val="center"/>
                            </w:pPr>
                          </w:p>
                        </w:txbxContent>
                      </wps:txbx>
                      <wps:bodyPr upright="1"/>
                    </wps:wsp>
                  </a:graphicData>
                </a:graphic>
              </wp:anchor>
            </w:drawing>
          </mc:Choice>
          <mc:Fallback>
            <w:pict>
              <v:rect id="矩形 37" o:spid="_x0000_s1026" o:spt="1" style="position:absolute;left:0pt;margin-left:309pt;margin-top:120.7pt;height:169.5pt;width:178.3pt;z-index:251660288;mso-width-relative:page;mso-height-relative:page;" filled="f" stroked="t" coordsize="21600,21600" o:gfxdata="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jTiALa&#10;AAAACwEAAA8AAAAAAAAAAQAgAAAAIgAAAGRycy9kb3ducmV2LnhtbFBLAQIUABQAAAAIAIdO4kBr&#10;Aj4Q5QEAALQDAAAOAAAAAAAAAAEAIAAAACkBAABkcnMvZTJvRG9jLnhtbFBLBQYAAAAABgAGAFkB&#10;AACABQAAAAA=&#10;">
                <v:fill on="f" focussize="0,0"/>
                <v:stroke color="#000000" joinstyle="miter"/>
                <v:imagedata o:title=""/>
                <o:lock v:ext="edit" aspectratio="f"/>
                <v:textbox>
                  <w:txbxContent>
                    <w:p>
                      <w:pPr>
                        <w:jc w:val="center"/>
                        <w:rPr>
                          <w:spacing w:val="20"/>
                        </w:rPr>
                      </w:pPr>
                      <w:r>
                        <w:rPr>
                          <w:spacing w:val="20"/>
                        </w:rPr>
                        <w:t>校印</w:t>
                      </w:r>
                    </w:p>
                    <w:p>
                      <w:pPr>
                        <w:jc w:val="center"/>
                        <w:rPr>
                          <w:spacing w:val="20"/>
                        </w:rPr>
                      </w:pPr>
                    </w:p>
                    <w:p>
                      <w:pPr>
                        <w:jc w:val="center"/>
                        <w:rPr>
                          <w:spacing w:val="20"/>
                        </w:rPr>
                      </w:pPr>
                    </w:p>
                    <w:p>
                      <w:pPr>
                        <w:jc w:val="center"/>
                        <w:rPr>
                          <w:spacing w:val="20"/>
                        </w:rPr>
                      </w:pPr>
                    </w:p>
                    <w:p>
                      <w:pPr>
                        <w:jc w:val="center"/>
                      </w:pPr>
                    </w:p>
                  </w:txbxContent>
                </v:textbox>
              </v:rect>
            </w:pict>
          </mc:Fallback>
        </mc:AlternateContent>
      </w:r>
    </w:p>
    <w:tbl>
      <w:tblPr>
        <w:tblStyle w:val="20"/>
        <w:tblW w:w="978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0"/>
        <w:gridCol w:w="3544"/>
        <w:gridCol w:w="1654"/>
        <w:gridCol w:w="2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2" w:hRule="atLeast"/>
        </w:trPr>
        <w:tc>
          <w:tcPr>
            <w:tcW w:w="2410" w:type="dxa"/>
            <w:vAlign w:val="bottom"/>
          </w:tcPr>
          <w:p>
            <w:pPr>
              <w:adjustRightInd w:val="0"/>
              <w:snapToGrid w:val="0"/>
              <w:jc w:val="both"/>
              <w:rPr>
                <w:b/>
                <w:snapToGrid w:val="0"/>
                <w:spacing w:val="20"/>
                <w:kern w:val="0"/>
              </w:rPr>
            </w:pPr>
            <w:r>
              <w:rPr>
                <w:snapToGrid w:val="0"/>
                <w:spacing w:val="20"/>
                <w:kern w:val="0"/>
              </w:rPr>
              <w:t>學校名稱 (中文)：</w:t>
            </w:r>
          </w:p>
        </w:tc>
        <w:tc>
          <w:tcPr>
            <w:tcW w:w="7371" w:type="dxa"/>
            <w:gridSpan w:val="3"/>
            <w:vAlign w:val="bottom"/>
          </w:tcPr>
          <w:p>
            <w:pPr>
              <w:tabs>
                <w:tab w:val="right" w:pos="6729"/>
              </w:tabs>
              <w:adjustRightInd w:val="0"/>
              <w:snapToGrid w:val="0"/>
              <w:jc w:val="both"/>
              <w:rPr>
                <w:snapToGrid w:val="0"/>
                <w:spacing w:val="20"/>
                <w:kern w:val="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2" w:hRule="atLeast"/>
        </w:trPr>
        <w:tc>
          <w:tcPr>
            <w:tcW w:w="2410" w:type="dxa"/>
            <w:vAlign w:val="bottom"/>
          </w:tcPr>
          <w:p>
            <w:pPr>
              <w:adjustRightInd w:val="0"/>
              <w:snapToGrid w:val="0"/>
              <w:jc w:val="both"/>
              <w:rPr>
                <w:snapToGrid w:val="0"/>
                <w:spacing w:val="20"/>
                <w:kern w:val="0"/>
              </w:rPr>
            </w:pPr>
            <w:r>
              <w:rPr>
                <w:snapToGrid w:val="0"/>
                <w:spacing w:val="20"/>
                <w:kern w:val="0"/>
              </w:rPr>
              <w:t>聯絡人：</w:t>
            </w:r>
          </w:p>
        </w:tc>
        <w:tc>
          <w:tcPr>
            <w:tcW w:w="3544" w:type="dxa"/>
            <w:tcBorders>
              <w:top w:val="single" w:color="auto" w:sz="4" w:space="0"/>
              <w:bottom w:val="single" w:color="auto" w:sz="4" w:space="0"/>
            </w:tcBorders>
            <w:vAlign w:val="center"/>
          </w:tcPr>
          <w:p>
            <w:pPr>
              <w:adjustRightInd w:val="0"/>
              <w:snapToGrid w:val="0"/>
              <w:jc w:val="both"/>
              <w:rPr>
                <w:snapToGrid w:val="0"/>
                <w:spacing w:val="20"/>
                <w:kern w:val="0"/>
              </w:rPr>
            </w:pPr>
          </w:p>
        </w:tc>
        <w:tc>
          <w:tcPr>
            <w:tcW w:w="1654" w:type="dxa"/>
            <w:tcBorders>
              <w:top w:val="single" w:color="auto" w:sz="4" w:space="0"/>
            </w:tcBorders>
            <w:vAlign w:val="bottom"/>
          </w:tcPr>
          <w:p>
            <w:pPr>
              <w:adjustRightInd w:val="0"/>
              <w:snapToGrid w:val="0"/>
              <w:jc w:val="both"/>
              <w:rPr>
                <w:snapToGrid w:val="0"/>
                <w:spacing w:val="20"/>
                <w:kern w:val="0"/>
              </w:rPr>
            </w:pPr>
            <w:r>
              <w:rPr>
                <w:snapToGrid w:val="0"/>
                <w:spacing w:val="20"/>
                <w:kern w:val="0"/>
              </w:rPr>
              <w:t>聯絡電話：</w:t>
            </w:r>
          </w:p>
        </w:tc>
        <w:tc>
          <w:tcPr>
            <w:tcW w:w="2173" w:type="dxa"/>
            <w:tcBorders>
              <w:top w:val="single" w:color="auto" w:sz="4" w:space="0"/>
              <w:bottom w:val="single" w:color="auto" w:sz="4" w:space="0"/>
            </w:tcBorders>
            <w:vAlign w:val="bottom"/>
          </w:tcPr>
          <w:p>
            <w:pPr>
              <w:tabs>
                <w:tab w:val="right" w:pos="6729"/>
              </w:tabs>
              <w:adjustRightInd w:val="0"/>
              <w:snapToGrid w:val="0"/>
              <w:jc w:val="both"/>
              <w:rPr>
                <w:snapToGrid w:val="0"/>
                <w:spacing w:val="20"/>
                <w:kern w:val="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2" w:hRule="atLeast"/>
        </w:trPr>
        <w:tc>
          <w:tcPr>
            <w:tcW w:w="2410" w:type="dxa"/>
            <w:vAlign w:val="bottom"/>
          </w:tcPr>
          <w:p>
            <w:pPr>
              <w:adjustRightInd w:val="0"/>
              <w:snapToGrid w:val="0"/>
              <w:jc w:val="both"/>
              <w:rPr>
                <w:snapToGrid w:val="0"/>
                <w:spacing w:val="20"/>
                <w:kern w:val="0"/>
              </w:rPr>
            </w:pPr>
            <w:r>
              <w:rPr>
                <w:snapToGrid w:val="0"/>
                <w:spacing w:val="20"/>
                <w:kern w:val="0"/>
              </w:rPr>
              <w:t>擬到取日期：</w:t>
            </w:r>
          </w:p>
        </w:tc>
        <w:tc>
          <w:tcPr>
            <w:tcW w:w="7371" w:type="dxa"/>
            <w:gridSpan w:val="3"/>
            <w:vAlign w:val="bottom"/>
          </w:tcPr>
          <w:p>
            <w:pPr>
              <w:tabs>
                <w:tab w:val="right" w:pos="6729"/>
              </w:tabs>
              <w:adjustRightInd w:val="0"/>
              <w:snapToGrid w:val="0"/>
              <w:jc w:val="right"/>
              <w:rPr>
                <w:snapToGrid w:val="0"/>
                <w:spacing w:val="20"/>
                <w:kern w:val="0"/>
              </w:rPr>
            </w:pPr>
            <w:r>
              <w:rPr>
                <w:snapToGrid w:val="0"/>
                <w:spacing w:val="20"/>
                <w:kern w:val="0"/>
              </w:rPr>
              <w:t>(日/月/年)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2" w:hRule="atLeast"/>
        </w:trPr>
        <w:tc>
          <w:tcPr>
            <w:tcW w:w="2410" w:type="dxa"/>
            <w:vAlign w:val="bottom"/>
          </w:tcPr>
          <w:p>
            <w:pPr>
              <w:adjustRightInd w:val="0"/>
              <w:snapToGrid w:val="0"/>
              <w:jc w:val="both"/>
              <w:rPr>
                <w:snapToGrid w:val="0"/>
                <w:spacing w:val="20"/>
                <w:kern w:val="0"/>
              </w:rPr>
            </w:pPr>
            <w:r>
              <w:rPr>
                <w:snapToGrid w:val="0"/>
                <w:spacing w:val="20"/>
                <w:kern w:val="0"/>
              </w:rPr>
              <w:t>校長姓名：</w:t>
            </w:r>
          </w:p>
        </w:tc>
        <w:tc>
          <w:tcPr>
            <w:tcW w:w="3544" w:type="dxa"/>
            <w:tcBorders>
              <w:top w:val="single" w:color="auto" w:sz="4" w:space="0"/>
              <w:bottom w:val="single" w:color="auto" w:sz="4" w:space="0"/>
            </w:tcBorders>
            <w:vAlign w:val="center"/>
          </w:tcPr>
          <w:p>
            <w:pPr>
              <w:tabs>
                <w:tab w:val="right" w:pos="6729"/>
              </w:tabs>
              <w:adjustRightInd w:val="0"/>
              <w:snapToGrid w:val="0"/>
              <w:jc w:val="right"/>
              <w:rPr>
                <w:snapToGrid w:val="0"/>
                <w:spacing w:val="20"/>
                <w:kern w:val="0"/>
                <w:u w:val="single"/>
              </w:rPr>
            </w:pPr>
          </w:p>
        </w:tc>
        <w:tc>
          <w:tcPr>
            <w:tcW w:w="3827" w:type="dxa"/>
            <w:gridSpan w:val="2"/>
            <w:tcBorders>
              <w:top w:val="single" w:color="auto" w:sz="4" w:space="0"/>
            </w:tcBorders>
            <w:vAlign w:val="center"/>
          </w:tcPr>
          <w:p>
            <w:pPr>
              <w:tabs>
                <w:tab w:val="right" w:pos="6729"/>
              </w:tabs>
              <w:adjustRightInd w:val="0"/>
              <w:snapToGrid w:val="0"/>
              <w:jc w:val="right"/>
              <w:rPr>
                <w:snapToGrid w:val="0"/>
                <w:spacing w:val="20"/>
                <w:kern w:val="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2" w:hRule="atLeast"/>
        </w:trPr>
        <w:tc>
          <w:tcPr>
            <w:tcW w:w="2410" w:type="dxa"/>
            <w:vAlign w:val="bottom"/>
          </w:tcPr>
          <w:p>
            <w:pPr>
              <w:adjustRightInd w:val="0"/>
              <w:snapToGrid w:val="0"/>
              <w:jc w:val="both"/>
              <w:rPr>
                <w:snapToGrid w:val="0"/>
                <w:spacing w:val="20"/>
                <w:kern w:val="0"/>
              </w:rPr>
            </w:pPr>
            <w:r>
              <w:rPr>
                <w:snapToGrid w:val="0"/>
                <w:spacing w:val="20"/>
                <w:kern w:val="0"/>
              </w:rPr>
              <w:t>校長簽署：</w:t>
            </w:r>
          </w:p>
        </w:tc>
        <w:tc>
          <w:tcPr>
            <w:tcW w:w="3544" w:type="dxa"/>
            <w:tcBorders>
              <w:top w:val="single" w:color="auto" w:sz="4" w:space="0"/>
              <w:bottom w:val="single" w:color="auto" w:sz="4" w:space="0"/>
            </w:tcBorders>
            <w:vAlign w:val="center"/>
          </w:tcPr>
          <w:p>
            <w:pPr>
              <w:tabs>
                <w:tab w:val="right" w:pos="6729"/>
              </w:tabs>
              <w:adjustRightInd w:val="0"/>
              <w:snapToGrid w:val="0"/>
              <w:jc w:val="right"/>
              <w:rPr>
                <w:snapToGrid w:val="0"/>
                <w:spacing w:val="20"/>
                <w:kern w:val="0"/>
                <w:u w:val="single"/>
              </w:rPr>
            </w:pPr>
          </w:p>
        </w:tc>
        <w:tc>
          <w:tcPr>
            <w:tcW w:w="3827" w:type="dxa"/>
            <w:gridSpan w:val="2"/>
            <w:vAlign w:val="center"/>
          </w:tcPr>
          <w:p>
            <w:pPr>
              <w:tabs>
                <w:tab w:val="right" w:pos="6729"/>
              </w:tabs>
              <w:adjustRightInd w:val="0"/>
              <w:snapToGrid w:val="0"/>
              <w:jc w:val="right"/>
              <w:rPr>
                <w:snapToGrid w:val="0"/>
                <w:spacing w:val="20"/>
                <w:kern w:val="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38" w:hRule="atLeast"/>
        </w:trPr>
        <w:tc>
          <w:tcPr>
            <w:tcW w:w="2410" w:type="dxa"/>
            <w:vAlign w:val="bottom"/>
          </w:tcPr>
          <w:p>
            <w:pPr>
              <w:adjustRightInd w:val="0"/>
              <w:snapToGrid w:val="0"/>
              <w:jc w:val="both"/>
              <w:rPr>
                <w:snapToGrid w:val="0"/>
                <w:spacing w:val="20"/>
                <w:kern w:val="0"/>
              </w:rPr>
            </w:pPr>
            <w:r>
              <w:rPr>
                <w:snapToGrid w:val="0"/>
                <w:spacing w:val="20"/>
                <w:kern w:val="0"/>
              </w:rPr>
              <w:t>日期：</w:t>
            </w:r>
          </w:p>
        </w:tc>
        <w:tc>
          <w:tcPr>
            <w:tcW w:w="3544" w:type="dxa"/>
            <w:tcBorders>
              <w:top w:val="single" w:color="auto" w:sz="4" w:space="0"/>
              <w:bottom w:val="single" w:color="auto" w:sz="4" w:space="0"/>
            </w:tcBorders>
            <w:vAlign w:val="center"/>
          </w:tcPr>
          <w:p>
            <w:pPr>
              <w:tabs>
                <w:tab w:val="right" w:pos="6729"/>
              </w:tabs>
              <w:adjustRightInd w:val="0"/>
              <w:snapToGrid w:val="0"/>
              <w:jc w:val="right"/>
              <w:rPr>
                <w:snapToGrid w:val="0"/>
                <w:spacing w:val="20"/>
                <w:kern w:val="0"/>
                <w:u w:val="single"/>
              </w:rPr>
            </w:pPr>
          </w:p>
        </w:tc>
        <w:tc>
          <w:tcPr>
            <w:tcW w:w="3827" w:type="dxa"/>
            <w:gridSpan w:val="2"/>
            <w:vAlign w:val="center"/>
          </w:tcPr>
          <w:p>
            <w:pPr>
              <w:tabs>
                <w:tab w:val="right" w:pos="6729"/>
              </w:tabs>
              <w:adjustRightInd w:val="0"/>
              <w:snapToGrid w:val="0"/>
              <w:rPr>
                <w:snapToGrid w:val="0"/>
                <w:spacing w:val="20"/>
                <w:kern w:val="0"/>
                <w:u w:val="single"/>
              </w:rPr>
            </w:pPr>
          </w:p>
        </w:tc>
      </w:tr>
    </w:tbl>
    <w:p>
      <w:pPr>
        <w:adjustRightInd w:val="0"/>
        <w:snapToGrid w:val="0"/>
        <w:ind w:left="120" w:leftChars="50"/>
        <w:rPr>
          <w:b/>
          <w:spacing w:val="20"/>
        </w:rPr>
      </w:pPr>
    </w:p>
    <w:p>
      <w:pPr>
        <w:adjustRightInd w:val="0"/>
        <w:snapToGrid w:val="0"/>
        <w:ind w:left="120" w:leftChars="50"/>
        <w:jc w:val="center"/>
        <w:rPr>
          <w:b/>
          <w:spacing w:val="20"/>
        </w:rPr>
      </w:pPr>
    </w:p>
    <w:p>
      <w:pPr>
        <w:adjustRightInd w:val="0"/>
        <w:snapToGrid w:val="0"/>
        <w:ind w:left="120" w:leftChars="50"/>
        <w:jc w:val="center"/>
        <w:rPr>
          <w:b/>
          <w:spacing w:val="20"/>
        </w:rPr>
      </w:pPr>
    </w:p>
    <w:p>
      <w:pPr>
        <w:adjustRightInd w:val="0"/>
        <w:snapToGrid w:val="0"/>
        <w:ind w:left="120" w:leftChars="50"/>
        <w:jc w:val="center"/>
        <w:rPr>
          <w:b/>
          <w:spacing w:val="20"/>
        </w:rPr>
      </w:pPr>
    </w:p>
    <w:p>
      <w:pPr>
        <w:adjustRightInd w:val="0"/>
        <w:snapToGrid w:val="0"/>
        <w:ind w:left="120" w:leftChars="50"/>
        <w:jc w:val="center"/>
        <w:rPr>
          <w:b/>
          <w:spacing w:val="20"/>
        </w:rPr>
      </w:pPr>
    </w:p>
    <w:p>
      <w:pPr>
        <w:adjustRightInd w:val="0"/>
        <w:snapToGrid w:val="0"/>
        <w:ind w:left="120" w:leftChars="50"/>
        <w:jc w:val="center"/>
        <w:rPr>
          <w:b/>
          <w:spacing w:val="20"/>
        </w:rPr>
      </w:pPr>
    </w:p>
    <w:p>
      <w:pPr>
        <w:adjustRightInd w:val="0"/>
        <w:snapToGrid w:val="0"/>
        <w:ind w:left="120" w:leftChars="50"/>
        <w:rPr>
          <w:spacing w:val="20"/>
        </w:rPr>
      </w:pPr>
      <w:r>
        <w:rPr>
          <w:spacing w:val="20"/>
        </w:rPr>
        <w:t>註：</w:t>
      </w:r>
    </w:p>
    <w:p>
      <w:pPr>
        <w:pStyle w:val="23"/>
        <w:numPr>
          <w:ilvl w:val="0"/>
          <w:numId w:val="9"/>
        </w:numPr>
        <w:adjustRightInd w:val="0"/>
        <w:snapToGrid w:val="0"/>
        <w:ind w:leftChars="0"/>
        <w:rPr>
          <w:rFonts w:hAnsi="PMingLiU"/>
          <w:spacing w:val="20"/>
        </w:rPr>
      </w:pPr>
      <w:r>
        <w:rPr>
          <w:rFonts w:hAnsi="PMingLiU"/>
          <w:spacing w:val="20"/>
        </w:rPr>
        <w:t>每份參考材料大小約為</w:t>
      </w:r>
      <w:r>
        <w:rPr>
          <w:rFonts w:hint="eastAsia" w:hAnsi="PMingLiU"/>
          <w:spacing w:val="20"/>
        </w:rPr>
        <w:t>28.5</w:t>
      </w:r>
      <w:r>
        <w:rPr>
          <w:rFonts w:hAnsi="PMingLiU"/>
          <w:spacing w:val="20"/>
        </w:rPr>
        <w:t>公分</w:t>
      </w:r>
      <w:r>
        <w:rPr>
          <w:rFonts w:hint="eastAsia" w:hAnsi="PMingLiU"/>
          <w:spacing w:val="20"/>
        </w:rPr>
        <w:t xml:space="preserve"> </w:t>
      </w:r>
      <w:r>
        <w:rPr>
          <w:rFonts w:hAnsi="PMingLiU"/>
          <w:spacing w:val="20"/>
        </w:rPr>
        <w:t>×</w:t>
      </w:r>
      <w:r>
        <w:rPr>
          <w:rFonts w:hint="eastAsia" w:hAnsi="PMingLiU"/>
          <w:spacing w:val="20"/>
        </w:rPr>
        <w:t xml:space="preserve"> 2</w:t>
      </w:r>
      <w:r>
        <w:rPr>
          <w:rFonts w:hAnsi="PMingLiU"/>
          <w:spacing w:val="20"/>
        </w:rPr>
        <w:t>1公分</w:t>
      </w:r>
      <w:r>
        <w:rPr>
          <w:rFonts w:hint="eastAsia" w:hAnsi="PMingLiU"/>
          <w:spacing w:val="20"/>
        </w:rPr>
        <w:t xml:space="preserve"> </w:t>
      </w:r>
      <w:r>
        <w:rPr>
          <w:rFonts w:hAnsi="PMingLiU"/>
          <w:spacing w:val="20"/>
        </w:rPr>
        <w:t>×</w:t>
      </w:r>
      <w:r>
        <w:rPr>
          <w:rFonts w:hint="eastAsia" w:hAnsi="PMingLiU"/>
          <w:spacing w:val="20"/>
        </w:rPr>
        <w:t xml:space="preserve"> </w:t>
      </w:r>
      <w:r>
        <w:rPr>
          <w:rFonts w:hAnsi="PMingLiU"/>
          <w:spacing w:val="20"/>
        </w:rPr>
        <w:t>1公分，重約</w:t>
      </w:r>
      <w:r>
        <w:rPr>
          <w:rFonts w:hint="eastAsia" w:hAnsi="PMingLiU"/>
          <w:spacing w:val="20"/>
        </w:rPr>
        <w:t>600</w:t>
      </w:r>
      <w:r>
        <w:rPr>
          <w:rFonts w:hAnsi="PMingLiU"/>
          <w:spacing w:val="20"/>
        </w:rPr>
        <w:t>克。</w:t>
      </w:r>
    </w:p>
    <w:p>
      <w:pPr>
        <w:pStyle w:val="23"/>
        <w:numPr>
          <w:ilvl w:val="0"/>
          <w:numId w:val="9"/>
        </w:numPr>
        <w:adjustRightInd w:val="0"/>
        <w:snapToGrid w:val="0"/>
        <w:ind w:leftChars="0"/>
        <w:rPr>
          <w:rFonts w:hAnsi="PMingLiU"/>
          <w:spacing w:val="20"/>
        </w:rPr>
      </w:pPr>
      <w:r>
        <w:rPr>
          <w:rFonts w:hAnsi="PMingLiU"/>
          <w:spacing w:val="20"/>
        </w:rPr>
        <w:t>參考材料提供期：</w:t>
      </w:r>
      <w:r>
        <w:rPr>
          <w:rFonts w:hint="eastAsia" w:hAnsi="PMingLiU"/>
          <w:spacing w:val="20"/>
        </w:rPr>
        <w:t>發出教育局通函日至2018年4月20日</w:t>
      </w:r>
    </w:p>
    <w:p>
      <w:pPr>
        <w:pStyle w:val="23"/>
        <w:numPr>
          <w:ilvl w:val="0"/>
          <w:numId w:val="9"/>
        </w:numPr>
        <w:adjustRightInd w:val="0"/>
        <w:snapToGrid w:val="0"/>
        <w:ind w:leftChars="0"/>
        <w:rPr>
          <w:rFonts w:hAnsi="PMingLiU"/>
          <w:spacing w:val="20"/>
        </w:rPr>
      </w:pPr>
      <w:r>
        <w:rPr>
          <w:rFonts w:hAnsi="PMingLiU"/>
          <w:spacing w:val="20"/>
        </w:rPr>
        <w:t>秘書處辦公時間</w:t>
      </w:r>
      <w:r>
        <w:rPr>
          <w:rFonts w:hint="eastAsia" w:hAnsi="PMingLiU"/>
          <w:spacing w:val="20"/>
        </w:rPr>
        <w:t>：星期一至五上午9時至1時，下午2時至6時</w:t>
      </w:r>
    </w:p>
    <w:p>
      <w:pPr>
        <w:pStyle w:val="23"/>
        <w:numPr>
          <w:ilvl w:val="0"/>
          <w:numId w:val="9"/>
        </w:numPr>
        <w:adjustRightInd w:val="0"/>
        <w:snapToGrid w:val="0"/>
        <w:ind w:leftChars="0"/>
        <w:rPr>
          <w:rFonts w:hAnsi="PMingLiU"/>
          <w:spacing w:val="20"/>
        </w:rPr>
      </w:pPr>
      <w:r>
        <w:rPr>
          <w:rFonts w:hAnsi="PMingLiU"/>
          <w:spacing w:val="20"/>
        </w:rPr>
        <w:t>查詢電話：</w:t>
      </w:r>
      <w:r>
        <w:rPr>
          <w:rFonts w:hint="eastAsia"/>
          <w:spacing w:val="20"/>
        </w:rPr>
        <w:t>6234 6061、6297 8879</w:t>
      </w:r>
    </w:p>
    <w:p>
      <w:pPr>
        <w:rPr>
          <w:b/>
        </w:rPr>
      </w:pPr>
    </w:p>
    <w:sectPr>
      <w:footerReference r:id="rId3" w:type="default"/>
      <w:pgSz w:w="11906" w:h="16838"/>
      <w:pgMar w:top="1021" w:right="1134" w:bottom="709" w:left="1134" w:header="567" w:footer="465" w:gutter="0"/>
      <w:cols w:space="425"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MingLiU">
    <w:panose1 w:val="02020300000000000000"/>
    <w:charset w:val="88"/>
    <w:family w:val="auto"/>
    <w:pitch w:val="default"/>
    <w:sig w:usb0="00000003" w:usb1="082E0000" w:usb2="00000016" w:usb3="00000000" w:csb0="00100001" w:csb1="00000000"/>
  </w:font>
  <w:font w:name="MingLiU">
    <w:panose1 w:val="02020309000000000000"/>
    <w:charset w:val="88"/>
    <w:family w:val="auto"/>
    <w:pitch w:val="default"/>
    <w:sig w:usb0="00000003" w:usb1="082E0000" w:usb2="00000016" w:usb3="00000000" w:csb0="00100001" w:csb1="00000000"/>
  </w:font>
  <w:font w:name="DFKai-SB">
    <w:altName w:val="MingLiU"/>
    <w:panose1 w:val="03000509000000000000"/>
    <w:charset w:val="88"/>
    <w:family w:val="auto"/>
    <w:pitch w:val="default"/>
    <w:sig w:usb0="00000000" w:usb1="00000000" w:usb2="00000016" w:usb3="00000000" w:csb0="00100001"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TW"/>
      </w:rPr>
      <w:t>8</w:t>
    </w:r>
    <w:r>
      <w:fldChar w:fldCharType="end"/>
    </w:r>
  </w:p>
  <w:p>
    <w:pPr>
      <w:pStyle w:val="13"/>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2C65"/>
    <w:multiLevelType w:val="multilevel"/>
    <w:tmpl w:val="05912C65"/>
    <w:lvl w:ilvl="0" w:tentative="0">
      <w:start w:val="1"/>
      <w:numFmt w:val="bullet"/>
      <w:lvlText w:val=""/>
      <w:lvlJc w:val="left"/>
      <w:pPr>
        <w:tabs>
          <w:tab w:val="left" w:pos="960"/>
        </w:tabs>
        <w:ind w:left="960" w:hanging="480"/>
      </w:pPr>
      <w:rPr>
        <w:rFonts w:hint="default" w:ascii="Wingdings" w:hAnsi="Wingdings"/>
      </w:rPr>
    </w:lvl>
    <w:lvl w:ilvl="1" w:tentative="0">
      <w:start w:val="1"/>
      <w:numFmt w:val="bullet"/>
      <w:lvlText w:val=""/>
      <w:lvlJc w:val="left"/>
      <w:pPr>
        <w:tabs>
          <w:tab w:val="left" w:pos="1440"/>
        </w:tabs>
        <w:ind w:left="1440" w:hanging="480"/>
      </w:pPr>
      <w:rPr>
        <w:rFonts w:hint="default" w:ascii="Wingdings" w:hAnsi="Wingdings"/>
      </w:rPr>
    </w:lvl>
    <w:lvl w:ilvl="2" w:tentative="0">
      <w:start w:val="1"/>
      <w:numFmt w:val="bullet"/>
      <w:lvlText w:val=""/>
      <w:lvlJc w:val="left"/>
      <w:pPr>
        <w:tabs>
          <w:tab w:val="left" w:pos="1920"/>
        </w:tabs>
        <w:ind w:left="1920" w:hanging="480"/>
      </w:pPr>
      <w:rPr>
        <w:rFonts w:hint="default" w:ascii="Wingdings" w:hAnsi="Wingdings"/>
      </w:rPr>
    </w:lvl>
    <w:lvl w:ilvl="3" w:tentative="0">
      <w:start w:val="1"/>
      <w:numFmt w:val="bullet"/>
      <w:lvlText w:val=""/>
      <w:lvlJc w:val="left"/>
      <w:pPr>
        <w:tabs>
          <w:tab w:val="left" w:pos="2400"/>
        </w:tabs>
        <w:ind w:left="2400" w:hanging="480"/>
      </w:pPr>
      <w:rPr>
        <w:rFonts w:hint="default" w:ascii="Wingdings" w:hAnsi="Wingdings"/>
      </w:rPr>
    </w:lvl>
    <w:lvl w:ilvl="4" w:tentative="0">
      <w:start w:val="1"/>
      <w:numFmt w:val="bullet"/>
      <w:lvlText w:val=""/>
      <w:lvlJc w:val="left"/>
      <w:pPr>
        <w:tabs>
          <w:tab w:val="left" w:pos="2880"/>
        </w:tabs>
        <w:ind w:left="2880" w:hanging="480"/>
      </w:pPr>
      <w:rPr>
        <w:rFonts w:hint="default" w:ascii="Wingdings" w:hAnsi="Wingdings"/>
      </w:rPr>
    </w:lvl>
    <w:lvl w:ilvl="5" w:tentative="0">
      <w:start w:val="1"/>
      <w:numFmt w:val="bullet"/>
      <w:lvlText w:val=""/>
      <w:lvlJc w:val="left"/>
      <w:pPr>
        <w:tabs>
          <w:tab w:val="left" w:pos="3360"/>
        </w:tabs>
        <w:ind w:left="3360" w:hanging="480"/>
      </w:pPr>
      <w:rPr>
        <w:rFonts w:hint="default" w:ascii="Wingdings" w:hAnsi="Wingdings"/>
      </w:rPr>
    </w:lvl>
    <w:lvl w:ilvl="6" w:tentative="0">
      <w:start w:val="1"/>
      <w:numFmt w:val="bullet"/>
      <w:lvlText w:val=""/>
      <w:lvlJc w:val="left"/>
      <w:pPr>
        <w:tabs>
          <w:tab w:val="left" w:pos="3840"/>
        </w:tabs>
        <w:ind w:left="3840" w:hanging="480"/>
      </w:pPr>
      <w:rPr>
        <w:rFonts w:hint="default" w:ascii="Wingdings" w:hAnsi="Wingdings"/>
      </w:rPr>
    </w:lvl>
    <w:lvl w:ilvl="7" w:tentative="0">
      <w:start w:val="1"/>
      <w:numFmt w:val="bullet"/>
      <w:lvlText w:val=""/>
      <w:lvlJc w:val="left"/>
      <w:pPr>
        <w:tabs>
          <w:tab w:val="left" w:pos="4320"/>
        </w:tabs>
        <w:ind w:left="4320" w:hanging="480"/>
      </w:pPr>
      <w:rPr>
        <w:rFonts w:hint="default" w:ascii="Wingdings" w:hAnsi="Wingdings"/>
      </w:rPr>
    </w:lvl>
    <w:lvl w:ilvl="8" w:tentative="0">
      <w:start w:val="1"/>
      <w:numFmt w:val="bullet"/>
      <w:lvlText w:val=""/>
      <w:lvlJc w:val="left"/>
      <w:pPr>
        <w:tabs>
          <w:tab w:val="left" w:pos="4800"/>
        </w:tabs>
        <w:ind w:left="4800" w:hanging="480"/>
      </w:pPr>
      <w:rPr>
        <w:rFonts w:hint="default" w:ascii="Wingdings" w:hAnsi="Wingdings"/>
      </w:rPr>
    </w:lvl>
  </w:abstractNum>
  <w:abstractNum w:abstractNumId="1">
    <w:nsid w:val="1BBA7710"/>
    <w:multiLevelType w:val="multilevel"/>
    <w:tmpl w:val="1BBA7710"/>
    <w:lvl w:ilvl="0" w:tentative="0">
      <w:start w:val="1"/>
      <w:numFmt w:val="bullet"/>
      <w:lvlText w:val=""/>
      <w:lvlJc w:val="left"/>
      <w:pPr>
        <w:tabs>
          <w:tab w:val="left" w:pos="960"/>
        </w:tabs>
        <w:ind w:left="960" w:hanging="480"/>
      </w:pPr>
      <w:rPr>
        <w:rFonts w:hint="default" w:ascii="Wingdings" w:hAnsi="Wingdings"/>
      </w:rPr>
    </w:lvl>
    <w:lvl w:ilvl="1" w:tentative="0">
      <w:start w:val="1"/>
      <w:numFmt w:val="bullet"/>
      <w:lvlText w:val=""/>
      <w:lvlJc w:val="left"/>
      <w:pPr>
        <w:tabs>
          <w:tab w:val="left" w:pos="1440"/>
        </w:tabs>
        <w:ind w:left="1440" w:hanging="480"/>
      </w:pPr>
      <w:rPr>
        <w:rFonts w:hint="default" w:ascii="Wingdings" w:hAnsi="Wingdings"/>
      </w:rPr>
    </w:lvl>
    <w:lvl w:ilvl="2" w:tentative="0">
      <w:start w:val="1"/>
      <w:numFmt w:val="bullet"/>
      <w:lvlText w:val=""/>
      <w:lvlJc w:val="left"/>
      <w:pPr>
        <w:tabs>
          <w:tab w:val="left" w:pos="1920"/>
        </w:tabs>
        <w:ind w:left="1920" w:hanging="480"/>
      </w:pPr>
      <w:rPr>
        <w:rFonts w:hint="default" w:ascii="Wingdings" w:hAnsi="Wingdings"/>
      </w:rPr>
    </w:lvl>
    <w:lvl w:ilvl="3" w:tentative="0">
      <w:start w:val="1"/>
      <w:numFmt w:val="bullet"/>
      <w:lvlText w:val=""/>
      <w:lvlJc w:val="left"/>
      <w:pPr>
        <w:tabs>
          <w:tab w:val="left" w:pos="2400"/>
        </w:tabs>
        <w:ind w:left="2400" w:hanging="480"/>
      </w:pPr>
      <w:rPr>
        <w:rFonts w:hint="default" w:ascii="Wingdings" w:hAnsi="Wingdings"/>
      </w:rPr>
    </w:lvl>
    <w:lvl w:ilvl="4" w:tentative="0">
      <w:start w:val="1"/>
      <w:numFmt w:val="bullet"/>
      <w:lvlText w:val=""/>
      <w:lvlJc w:val="left"/>
      <w:pPr>
        <w:tabs>
          <w:tab w:val="left" w:pos="2880"/>
        </w:tabs>
        <w:ind w:left="2880" w:hanging="480"/>
      </w:pPr>
      <w:rPr>
        <w:rFonts w:hint="default" w:ascii="Wingdings" w:hAnsi="Wingdings"/>
      </w:rPr>
    </w:lvl>
    <w:lvl w:ilvl="5" w:tentative="0">
      <w:start w:val="1"/>
      <w:numFmt w:val="bullet"/>
      <w:lvlText w:val=""/>
      <w:lvlJc w:val="left"/>
      <w:pPr>
        <w:tabs>
          <w:tab w:val="left" w:pos="3360"/>
        </w:tabs>
        <w:ind w:left="3360" w:hanging="480"/>
      </w:pPr>
      <w:rPr>
        <w:rFonts w:hint="default" w:ascii="Wingdings" w:hAnsi="Wingdings"/>
      </w:rPr>
    </w:lvl>
    <w:lvl w:ilvl="6" w:tentative="0">
      <w:start w:val="1"/>
      <w:numFmt w:val="bullet"/>
      <w:lvlText w:val=""/>
      <w:lvlJc w:val="left"/>
      <w:pPr>
        <w:tabs>
          <w:tab w:val="left" w:pos="3840"/>
        </w:tabs>
        <w:ind w:left="3840" w:hanging="480"/>
      </w:pPr>
      <w:rPr>
        <w:rFonts w:hint="default" w:ascii="Wingdings" w:hAnsi="Wingdings"/>
      </w:rPr>
    </w:lvl>
    <w:lvl w:ilvl="7" w:tentative="0">
      <w:start w:val="1"/>
      <w:numFmt w:val="bullet"/>
      <w:lvlText w:val=""/>
      <w:lvlJc w:val="left"/>
      <w:pPr>
        <w:tabs>
          <w:tab w:val="left" w:pos="4320"/>
        </w:tabs>
        <w:ind w:left="4320" w:hanging="480"/>
      </w:pPr>
      <w:rPr>
        <w:rFonts w:hint="default" w:ascii="Wingdings" w:hAnsi="Wingdings"/>
      </w:rPr>
    </w:lvl>
    <w:lvl w:ilvl="8" w:tentative="0">
      <w:start w:val="1"/>
      <w:numFmt w:val="bullet"/>
      <w:lvlText w:val=""/>
      <w:lvlJc w:val="left"/>
      <w:pPr>
        <w:tabs>
          <w:tab w:val="left" w:pos="4800"/>
        </w:tabs>
        <w:ind w:left="4800" w:hanging="480"/>
      </w:pPr>
      <w:rPr>
        <w:rFonts w:hint="default" w:ascii="Wingdings" w:hAnsi="Wingdings"/>
      </w:rPr>
    </w:lvl>
  </w:abstractNum>
  <w:abstractNum w:abstractNumId="2">
    <w:nsid w:val="21C6702B"/>
    <w:multiLevelType w:val="multilevel"/>
    <w:tmpl w:val="21C6702B"/>
    <w:lvl w:ilvl="0" w:tentative="0">
      <w:start w:val="1"/>
      <w:numFmt w:val="decimal"/>
      <w:lvlText w:val="%1."/>
      <w:lvlJc w:val="left"/>
      <w:pPr>
        <w:ind w:left="600" w:hanging="480"/>
      </w:pPr>
    </w:lvl>
    <w:lvl w:ilvl="1" w:tentative="0">
      <w:start w:val="1"/>
      <w:numFmt w:val="ideographTraditional"/>
      <w:lvlText w:val="%2、"/>
      <w:lvlJc w:val="left"/>
      <w:pPr>
        <w:ind w:left="1080" w:hanging="480"/>
      </w:pPr>
    </w:lvl>
    <w:lvl w:ilvl="2" w:tentative="0">
      <w:start w:val="1"/>
      <w:numFmt w:val="lowerRoman"/>
      <w:lvlText w:val="%3."/>
      <w:lvlJc w:val="right"/>
      <w:pPr>
        <w:ind w:left="1560" w:hanging="480"/>
      </w:pPr>
    </w:lvl>
    <w:lvl w:ilvl="3" w:tentative="0">
      <w:start w:val="1"/>
      <w:numFmt w:val="decimal"/>
      <w:lvlText w:val="%4."/>
      <w:lvlJc w:val="left"/>
      <w:pPr>
        <w:ind w:left="2040" w:hanging="480"/>
      </w:pPr>
    </w:lvl>
    <w:lvl w:ilvl="4" w:tentative="0">
      <w:start w:val="1"/>
      <w:numFmt w:val="ideographTraditional"/>
      <w:lvlText w:val="%5、"/>
      <w:lvlJc w:val="left"/>
      <w:pPr>
        <w:ind w:left="2520" w:hanging="480"/>
      </w:pPr>
    </w:lvl>
    <w:lvl w:ilvl="5" w:tentative="0">
      <w:start w:val="1"/>
      <w:numFmt w:val="lowerRoman"/>
      <w:lvlText w:val="%6."/>
      <w:lvlJc w:val="right"/>
      <w:pPr>
        <w:ind w:left="3000" w:hanging="480"/>
      </w:pPr>
    </w:lvl>
    <w:lvl w:ilvl="6" w:tentative="0">
      <w:start w:val="1"/>
      <w:numFmt w:val="decimal"/>
      <w:lvlText w:val="%7."/>
      <w:lvlJc w:val="left"/>
      <w:pPr>
        <w:ind w:left="3480" w:hanging="480"/>
      </w:pPr>
    </w:lvl>
    <w:lvl w:ilvl="7" w:tentative="0">
      <w:start w:val="1"/>
      <w:numFmt w:val="ideographTraditional"/>
      <w:lvlText w:val="%8、"/>
      <w:lvlJc w:val="left"/>
      <w:pPr>
        <w:ind w:left="3960" w:hanging="480"/>
      </w:pPr>
    </w:lvl>
    <w:lvl w:ilvl="8" w:tentative="0">
      <w:start w:val="1"/>
      <w:numFmt w:val="lowerRoman"/>
      <w:lvlText w:val="%9."/>
      <w:lvlJc w:val="right"/>
      <w:pPr>
        <w:ind w:left="4440" w:hanging="480"/>
      </w:pPr>
    </w:lvl>
  </w:abstractNum>
  <w:abstractNum w:abstractNumId="3">
    <w:nsid w:val="27B7640E"/>
    <w:multiLevelType w:val="multilevel"/>
    <w:tmpl w:val="27B7640E"/>
    <w:lvl w:ilvl="0" w:tentative="0">
      <w:start w:val="1"/>
      <w:numFmt w:val="bullet"/>
      <w:lvlText w:val=""/>
      <w:lvlJc w:val="left"/>
      <w:pPr>
        <w:tabs>
          <w:tab w:val="left" w:pos="960"/>
        </w:tabs>
        <w:ind w:left="960" w:hanging="480"/>
      </w:pPr>
      <w:rPr>
        <w:rFonts w:hint="default" w:ascii="Wingdings" w:hAnsi="Wingdings"/>
      </w:rPr>
    </w:lvl>
    <w:lvl w:ilvl="1" w:tentative="0">
      <w:start w:val="1"/>
      <w:numFmt w:val="bullet"/>
      <w:lvlText w:val=""/>
      <w:lvlJc w:val="left"/>
      <w:pPr>
        <w:tabs>
          <w:tab w:val="left" w:pos="1440"/>
        </w:tabs>
        <w:ind w:left="1440" w:hanging="480"/>
      </w:pPr>
      <w:rPr>
        <w:rFonts w:hint="default" w:ascii="Wingdings" w:hAnsi="Wingdings"/>
      </w:rPr>
    </w:lvl>
    <w:lvl w:ilvl="2" w:tentative="0">
      <w:start w:val="1"/>
      <w:numFmt w:val="bullet"/>
      <w:lvlText w:val=""/>
      <w:lvlJc w:val="left"/>
      <w:pPr>
        <w:tabs>
          <w:tab w:val="left" w:pos="1920"/>
        </w:tabs>
        <w:ind w:left="1920" w:hanging="480"/>
      </w:pPr>
      <w:rPr>
        <w:rFonts w:hint="default" w:ascii="Wingdings" w:hAnsi="Wingdings"/>
      </w:rPr>
    </w:lvl>
    <w:lvl w:ilvl="3" w:tentative="0">
      <w:start w:val="1"/>
      <w:numFmt w:val="bullet"/>
      <w:lvlText w:val=""/>
      <w:lvlJc w:val="left"/>
      <w:pPr>
        <w:tabs>
          <w:tab w:val="left" w:pos="2400"/>
        </w:tabs>
        <w:ind w:left="2400" w:hanging="480"/>
      </w:pPr>
      <w:rPr>
        <w:rFonts w:hint="default" w:ascii="Wingdings" w:hAnsi="Wingdings"/>
      </w:rPr>
    </w:lvl>
    <w:lvl w:ilvl="4" w:tentative="0">
      <w:start w:val="1"/>
      <w:numFmt w:val="bullet"/>
      <w:lvlText w:val=""/>
      <w:lvlJc w:val="left"/>
      <w:pPr>
        <w:tabs>
          <w:tab w:val="left" w:pos="2880"/>
        </w:tabs>
        <w:ind w:left="2880" w:hanging="480"/>
      </w:pPr>
      <w:rPr>
        <w:rFonts w:hint="default" w:ascii="Wingdings" w:hAnsi="Wingdings"/>
      </w:rPr>
    </w:lvl>
    <w:lvl w:ilvl="5" w:tentative="0">
      <w:start w:val="1"/>
      <w:numFmt w:val="bullet"/>
      <w:lvlText w:val=""/>
      <w:lvlJc w:val="left"/>
      <w:pPr>
        <w:tabs>
          <w:tab w:val="left" w:pos="3360"/>
        </w:tabs>
        <w:ind w:left="3360" w:hanging="480"/>
      </w:pPr>
      <w:rPr>
        <w:rFonts w:hint="default" w:ascii="Wingdings" w:hAnsi="Wingdings"/>
      </w:rPr>
    </w:lvl>
    <w:lvl w:ilvl="6" w:tentative="0">
      <w:start w:val="1"/>
      <w:numFmt w:val="bullet"/>
      <w:lvlText w:val=""/>
      <w:lvlJc w:val="left"/>
      <w:pPr>
        <w:tabs>
          <w:tab w:val="left" w:pos="3840"/>
        </w:tabs>
        <w:ind w:left="3840" w:hanging="480"/>
      </w:pPr>
      <w:rPr>
        <w:rFonts w:hint="default" w:ascii="Wingdings" w:hAnsi="Wingdings"/>
      </w:rPr>
    </w:lvl>
    <w:lvl w:ilvl="7" w:tentative="0">
      <w:start w:val="1"/>
      <w:numFmt w:val="bullet"/>
      <w:lvlText w:val=""/>
      <w:lvlJc w:val="left"/>
      <w:pPr>
        <w:tabs>
          <w:tab w:val="left" w:pos="4320"/>
        </w:tabs>
        <w:ind w:left="4320" w:hanging="480"/>
      </w:pPr>
      <w:rPr>
        <w:rFonts w:hint="default" w:ascii="Wingdings" w:hAnsi="Wingdings"/>
      </w:rPr>
    </w:lvl>
    <w:lvl w:ilvl="8" w:tentative="0">
      <w:start w:val="1"/>
      <w:numFmt w:val="bullet"/>
      <w:lvlText w:val=""/>
      <w:lvlJc w:val="left"/>
      <w:pPr>
        <w:tabs>
          <w:tab w:val="left" w:pos="4800"/>
        </w:tabs>
        <w:ind w:left="4800" w:hanging="480"/>
      </w:pPr>
      <w:rPr>
        <w:rFonts w:hint="default" w:ascii="Wingdings" w:hAnsi="Wingdings"/>
      </w:rPr>
    </w:lvl>
  </w:abstractNum>
  <w:abstractNum w:abstractNumId="4">
    <w:nsid w:val="53EF2CCC"/>
    <w:multiLevelType w:val="multilevel"/>
    <w:tmpl w:val="53EF2CCC"/>
    <w:lvl w:ilvl="0" w:tentative="0">
      <w:start w:val="1"/>
      <w:numFmt w:val="bullet"/>
      <w:lvlText w:val=""/>
      <w:lvlJc w:val="left"/>
      <w:pPr>
        <w:tabs>
          <w:tab w:val="left" w:pos="1256"/>
        </w:tabs>
        <w:ind w:left="1256" w:hanging="480"/>
      </w:pPr>
      <w:rPr>
        <w:rFonts w:hint="default" w:ascii="Wingdings" w:hAnsi="Wingdings"/>
      </w:rPr>
    </w:lvl>
    <w:lvl w:ilvl="1" w:tentative="0">
      <w:start w:val="1"/>
      <w:numFmt w:val="bullet"/>
      <w:lvlText w:val=""/>
      <w:lvlJc w:val="left"/>
      <w:pPr>
        <w:tabs>
          <w:tab w:val="left" w:pos="1560"/>
        </w:tabs>
        <w:ind w:left="1560" w:hanging="480"/>
      </w:pPr>
      <w:rPr>
        <w:rFonts w:hint="default" w:ascii="Wingdings" w:hAnsi="Wingdings"/>
      </w:rPr>
    </w:lvl>
    <w:lvl w:ilvl="2" w:tentative="0">
      <w:start w:val="1"/>
      <w:numFmt w:val="bullet"/>
      <w:lvlText w:val=""/>
      <w:lvlJc w:val="left"/>
      <w:pPr>
        <w:tabs>
          <w:tab w:val="left" w:pos="2040"/>
        </w:tabs>
        <w:ind w:left="2040" w:hanging="480"/>
      </w:pPr>
      <w:rPr>
        <w:rFonts w:hint="default" w:ascii="Wingdings" w:hAnsi="Wingdings"/>
      </w:rPr>
    </w:lvl>
    <w:lvl w:ilvl="3" w:tentative="0">
      <w:start w:val="1"/>
      <w:numFmt w:val="bullet"/>
      <w:lvlText w:val=""/>
      <w:lvlJc w:val="left"/>
      <w:pPr>
        <w:tabs>
          <w:tab w:val="left" w:pos="2520"/>
        </w:tabs>
        <w:ind w:left="2520" w:hanging="480"/>
      </w:pPr>
      <w:rPr>
        <w:rFonts w:hint="default" w:ascii="Wingdings" w:hAnsi="Wingdings"/>
      </w:rPr>
    </w:lvl>
    <w:lvl w:ilvl="4" w:tentative="0">
      <w:start w:val="1"/>
      <w:numFmt w:val="bullet"/>
      <w:lvlText w:val=""/>
      <w:lvlJc w:val="left"/>
      <w:pPr>
        <w:tabs>
          <w:tab w:val="left" w:pos="3000"/>
        </w:tabs>
        <w:ind w:left="3000" w:hanging="480"/>
      </w:pPr>
      <w:rPr>
        <w:rFonts w:hint="default" w:ascii="Wingdings" w:hAnsi="Wingdings"/>
      </w:rPr>
    </w:lvl>
    <w:lvl w:ilvl="5" w:tentative="0">
      <w:start w:val="1"/>
      <w:numFmt w:val="bullet"/>
      <w:lvlText w:val=""/>
      <w:lvlJc w:val="left"/>
      <w:pPr>
        <w:tabs>
          <w:tab w:val="left" w:pos="3480"/>
        </w:tabs>
        <w:ind w:left="3480" w:hanging="480"/>
      </w:pPr>
      <w:rPr>
        <w:rFonts w:hint="default" w:ascii="Wingdings" w:hAnsi="Wingdings"/>
      </w:rPr>
    </w:lvl>
    <w:lvl w:ilvl="6" w:tentative="0">
      <w:start w:val="1"/>
      <w:numFmt w:val="bullet"/>
      <w:lvlText w:val=""/>
      <w:lvlJc w:val="left"/>
      <w:pPr>
        <w:tabs>
          <w:tab w:val="left" w:pos="3960"/>
        </w:tabs>
        <w:ind w:left="3960" w:hanging="480"/>
      </w:pPr>
      <w:rPr>
        <w:rFonts w:hint="default" w:ascii="Wingdings" w:hAnsi="Wingdings"/>
      </w:rPr>
    </w:lvl>
    <w:lvl w:ilvl="7" w:tentative="0">
      <w:start w:val="1"/>
      <w:numFmt w:val="bullet"/>
      <w:lvlText w:val=""/>
      <w:lvlJc w:val="left"/>
      <w:pPr>
        <w:tabs>
          <w:tab w:val="left" w:pos="4440"/>
        </w:tabs>
        <w:ind w:left="4440" w:hanging="480"/>
      </w:pPr>
      <w:rPr>
        <w:rFonts w:hint="default" w:ascii="Wingdings" w:hAnsi="Wingdings"/>
      </w:rPr>
    </w:lvl>
    <w:lvl w:ilvl="8" w:tentative="0">
      <w:start w:val="1"/>
      <w:numFmt w:val="bullet"/>
      <w:lvlText w:val=""/>
      <w:lvlJc w:val="left"/>
      <w:pPr>
        <w:tabs>
          <w:tab w:val="left" w:pos="4920"/>
        </w:tabs>
        <w:ind w:left="4920" w:hanging="480"/>
      </w:pPr>
      <w:rPr>
        <w:rFonts w:hint="default" w:ascii="Wingdings" w:hAnsi="Wingdings"/>
      </w:rPr>
    </w:lvl>
  </w:abstractNum>
  <w:abstractNum w:abstractNumId="5">
    <w:nsid w:val="5A8856B5"/>
    <w:multiLevelType w:val="multilevel"/>
    <w:tmpl w:val="5A8856B5"/>
    <w:lvl w:ilvl="0" w:tentative="0">
      <w:start w:val="1"/>
      <w:numFmt w:val="bullet"/>
      <w:lvlText w:val=""/>
      <w:lvlJc w:val="left"/>
      <w:pPr>
        <w:tabs>
          <w:tab w:val="left" w:pos="960"/>
        </w:tabs>
        <w:ind w:left="960" w:hanging="480"/>
      </w:pPr>
      <w:rPr>
        <w:rFonts w:hint="default" w:ascii="Wingdings" w:hAnsi="Wingdings"/>
      </w:rPr>
    </w:lvl>
    <w:lvl w:ilvl="1" w:tentative="0">
      <w:start w:val="1"/>
      <w:numFmt w:val="bullet"/>
      <w:lvlText w:val=""/>
      <w:lvlJc w:val="left"/>
      <w:pPr>
        <w:tabs>
          <w:tab w:val="left" w:pos="1440"/>
        </w:tabs>
        <w:ind w:left="1440" w:hanging="480"/>
      </w:pPr>
      <w:rPr>
        <w:rFonts w:hint="default" w:ascii="Wingdings" w:hAnsi="Wingdings"/>
      </w:rPr>
    </w:lvl>
    <w:lvl w:ilvl="2" w:tentative="0">
      <w:start w:val="1"/>
      <w:numFmt w:val="bullet"/>
      <w:lvlText w:val=""/>
      <w:lvlJc w:val="left"/>
      <w:pPr>
        <w:tabs>
          <w:tab w:val="left" w:pos="1920"/>
        </w:tabs>
        <w:ind w:left="1920" w:hanging="480"/>
      </w:pPr>
      <w:rPr>
        <w:rFonts w:hint="default" w:ascii="Wingdings" w:hAnsi="Wingdings"/>
      </w:rPr>
    </w:lvl>
    <w:lvl w:ilvl="3" w:tentative="0">
      <w:start w:val="1"/>
      <w:numFmt w:val="bullet"/>
      <w:lvlText w:val=""/>
      <w:lvlJc w:val="left"/>
      <w:pPr>
        <w:tabs>
          <w:tab w:val="left" w:pos="2400"/>
        </w:tabs>
        <w:ind w:left="2400" w:hanging="480"/>
      </w:pPr>
      <w:rPr>
        <w:rFonts w:hint="default" w:ascii="Wingdings" w:hAnsi="Wingdings"/>
      </w:rPr>
    </w:lvl>
    <w:lvl w:ilvl="4" w:tentative="0">
      <w:start w:val="1"/>
      <w:numFmt w:val="bullet"/>
      <w:lvlText w:val=""/>
      <w:lvlJc w:val="left"/>
      <w:pPr>
        <w:tabs>
          <w:tab w:val="left" w:pos="2880"/>
        </w:tabs>
        <w:ind w:left="2880" w:hanging="480"/>
      </w:pPr>
      <w:rPr>
        <w:rFonts w:hint="default" w:ascii="Wingdings" w:hAnsi="Wingdings"/>
      </w:rPr>
    </w:lvl>
    <w:lvl w:ilvl="5" w:tentative="0">
      <w:start w:val="1"/>
      <w:numFmt w:val="bullet"/>
      <w:lvlText w:val=""/>
      <w:lvlJc w:val="left"/>
      <w:pPr>
        <w:tabs>
          <w:tab w:val="left" w:pos="3360"/>
        </w:tabs>
        <w:ind w:left="3360" w:hanging="480"/>
      </w:pPr>
      <w:rPr>
        <w:rFonts w:hint="default" w:ascii="Wingdings" w:hAnsi="Wingdings"/>
      </w:rPr>
    </w:lvl>
    <w:lvl w:ilvl="6" w:tentative="0">
      <w:start w:val="1"/>
      <w:numFmt w:val="bullet"/>
      <w:lvlText w:val=""/>
      <w:lvlJc w:val="left"/>
      <w:pPr>
        <w:tabs>
          <w:tab w:val="left" w:pos="3840"/>
        </w:tabs>
        <w:ind w:left="3840" w:hanging="480"/>
      </w:pPr>
      <w:rPr>
        <w:rFonts w:hint="default" w:ascii="Wingdings" w:hAnsi="Wingdings"/>
      </w:rPr>
    </w:lvl>
    <w:lvl w:ilvl="7" w:tentative="0">
      <w:start w:val="1"/>
      <w:numFmt w:val="bullet"/>
      <w:lvlText w:val=""/>
      <w:lvlJc w:val="left"/>
      <w:pPr>
        <w:tabs>
          <w:tab w:val="left" w:pos="4320"/>
        </w:tabs>
        <w:ind w:left="4320" w:hanging="480"/>
      </w:pPr>
      <w:rPr>
        <w:rFonts w:hint="default" w:ascii="Wingdings" w:hAnsi="Wingdings"/>
      </w:rPr>
    </w:lvl>
    <w:lvl w:ilvl="8" w:tentative="0">
      <w:start w:val="1"/>
      <w:numFmt w:val="bullet"/>
      <w:lvlText w:val=""/>
      <w:lvlJc w:val="left"/>
      <w:pPr>
        <w:tabs>
          <w:tab w:val="left" w:pos="4800"/>
        </w:tabs>
        <w:ind w:left="4800" w:hanging="480"/>
      </w:pPr>
      <w:rPr>
        <w:rFonts w:hint="default" w:ascii="Wingdings" w:hAnsi="Wingdings"/>
      </w:rPr>
    </w:lvl>
  </w:abstractNum>
  <w:abstractNum w:abstractNumId="6">
    <w:nsid w:val="5D12362D"/>
    <w:multiLevelType w:val="multilevel"/>
    <w:tmpl w:val="5D12362D"/>
    <w:lvl w:ilvl="0" w:tentative="0">
      <w:start w:val="2"/>
      <w:numFmt w:val="decimal"/>
      <w:lvlText w:val="%1."/>
      <w:lvlJc w:val="left"/>
      <w:pPr>
        <w:ind w:left="480" w:hanging="48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7">
    <w:nsid w:val="6F4F7D06"/>
    <w:multiLevelType w:val="multilevel"/>
    <w:tmpl w:val="6F4F7D06"/>
    <w:lvl w:ilvl="0" w:tentative="0">
      <w:start w:val="1"/>
      <w:numFmt w:val="bullet"/>
      <w:lvlText w:val=""/>
      <w:lvlJc w:val="left"/>
      <w:pPr>
        <w:tabs>
          <w:tab w:val="left" w:pos="960"/>
        </w:tabs>
        <w:ind w:left="960" w:hanging="480"/>
      </w:pPr>
      <w:rPr>
        <w:rFonts w:hint="default" w:ascii="Wingdings" w:hAnsi="Wingdings"/>
      </w:rPr>
    </w:lvl>
    <w:lvl w:ilvl="1" w:tentative="0">
      <w:start w:val="1"/>
      <w:numFmt w:val="bullet"/>
      <w:lvlText w:val=""/>
      <w:lvlJc w:val="left"/>
      <w:pPr>
        <w:tabs>
          <w:tab w:val="left" w:pos="1440"/>
        </w:tabs>
        <w:ind w:left="1440" w:hanging="480"/>
      </w:pPr>
      <w:rPr>
        <w:rFonts w:hint="default" w:ascii="Wingdings" w:hAnsi="Wingdings"/>
      </w:rPr>
    </w:lvl>
    <w:lvl w:ilvl="2" w:tentative="0">
      <w:start w:val="1"/>
      <w:numFmt w:val="bullet"/>
      <w:lvlText w:val=""/>
      <w:lvlJc w:val="left"/>
      <w:pPr>
        <w:tabs>
          <w:tab w:val="left" w:pos="1920"/>
        </w:tabs>
        <w:ind w:left="1920" w:hanging="480"/>
      </w:pPr>
      <w:rPr>
        <w:rFonts w:hint="default" w:ascii="Wingdings" w:hAnsi="Wingdings"/>
      </w:rPr>
    </w:lvl>
    <w:lvl w:ilvl="3" w:tentative="0">
      <w:start w:val="1"/>
      <w:numFmt w:val="bullet"/>
      <w:lvlText w:val=""/>
      <w:lvlJc w:val="left"/>
      <w:pPr>
        <w:tabs>
          <w:tab w:val="left" w:pos="2400"/>
        </w:tabs>
        <w:ind w:left="2400" w:hanging="480"/>
      </w:pPr>
      <w:rPr>
        <w:rFonts w:hint="default" w:ascii="Wingdings" w:hAnsi="Wingdings"/>
      </w:rPr>
    </w:lvl>
    <w:lvl w:ilvl="4" w:tentative="0">
      <w:start w:val="1"/>
      <w:numFmt w:val="bullet"/>
      <w:lvlText w:val=""/>
      <w:lvlJc w:val="left"/>
      <w:pPr>
        <w:tabs>
          <w:tab w:val="left" w:pos="2880"/>
        </w:tabs>
        <w:ind w:left="2880" w:hanging="480"/>
      </w:pPr>
      <w:rPr>
        <w:rFonts w:hint="default" w:ascii="Wingdings" w:hAnsi="Wingdings"/>
      </w:rPr>
    </w:lvl>
    <w:lvl w:ilvl="5" w:tentative="0">
      <w:start w:val="1"/>
      <w:numFmt w:val="bullet"/>
      <w:lvlText w:val=""/>
      <w:lvlJc w:val="left"/>
      <w:pPr>
        <w:tabs>
          <w:tab w:val="left" w:pos="3360"/>
        </w:tabs>
        <w:ind w:left="3360" w:hanging="480"/>
      </w:pPr>
      <w:rPr>
        <w:rFonts w:hint="default" w:ascii="Wingdings" w:hAnsi="Wingdings"/>
      </w:rPr>
    </w:lvl>
    <w:lvl w:ilvl="6" w:tentative="0">
      <w:start w:val="1"/>
      <w:numFmt w:val="bullet"/>
      <w:lvlText w:val=""/>
      <w:lvlJc w:val="left"/>
      <w:pPr>
        <w:tabs>
          <w:tab w:val="left" w:pos="3840"/>
        </w:tabs>
        <w:ind w:left="3840" w:hanging="480"/>
      </w:pPr>
      <w:rPr>
        <w:rFonts w:hint="default" w:ascii="Wingdings" w:hAnsi="Wingdings"/>
      </w:rPr>
    </w:lvl>
    <w:lvl w:ilvl="7" w:tentative="0">
      <w:start w:val="1"/>
      <w:numFmt w:val="bullet"/>
      <w:lvlText w:val=""/>
      <w:lvlJc w:val="left"/>
      <w:pPr>
        <w:tabs>
          <w:tab w:val="left" w:pos="4320"/>
        </w:tabs>
        <w:ind w:left="4320" w:hanging="480"/>
      </w:pPr>
      <w:rPr>
        <w:rFonts w:hint="default" w:ascii="Wingdings" w:hAnsi="Wingdings"/>
      </w:rPr>
    </w:lvl>
    <w:lvl w:ilvl="8" w:tentative="0">
      <w:start w:val="1"/>
      <w:numFmt w:val="bullet"/>
      <w:lvlText w:val=""/>
      <w:lvlJc w:val="left"/>
      <w:pPr>
        <w:tabs>
          <w:tab w:val="left" w:pos="4800"/>
        </w:tabs>
        <w:ind w:left="4800" w:hanging="480"/>
      </w:pPr>
      <w:rPr>
        <w:rFonts w:hint="default" w:ascii="Wingdings" w:hAnsi="Wingdings"/>
      </w:rPr>
    </w:lvl>
  </w:abstractNum>
  <w:abstractNum w:abstractNumId="8">
    <w:nsid w:val="7E084C82"/>
    <w:multiLevelType w:val="multilevel"/>
    <w:tmpl w:val="7E084C82"/>
    <w:lvl w:ilvl="0" w:tentative="0">
      <w:start w:val="1"/>
      <w:numFmt w:val="bullet"/>
      <w:lvlText w:val=""/>
      <w:lvlJc w:val="left"/>
      <w:pPr>
        <w:tabs>
          <w:tab w:val="left" w:pos="960"/>
        </w:tabs>
        <w:ind w:left="960" w:hanging="480"/>
      </w:pPr>
      <w:rPr>
        <w:rFonts w:hint="default" w:ascii="Wingdings" w:hAnsi="Wingdings"/>
      </w:rPr>
    </w:lvl>
    <w:lvl w:ilvl="1" w:tentative="0">
      <w:start w:val="1"/>
      <w:numFmt w:val="bullet"/>
      <w:lvlText w:val=""/>
      <w:lvlJc w:val="left"/>
      <w:pPr>
        <w:tabs>
          <w:tab w:val="left" w:pos="1440"/>
        </w:tabs>
        <w:ind w:left="1440" w:hanging="480"/>
      </w:pPr>
      <w:rPr>
        <w:rFonts w:hint="default" w:ascii="Wingdings" w:hAnsi="Wingdings"/>
      </w:rPr>
    </w:lvl>
    <w:lvl w:ilvl="2" w:tentative="0">
      <w:start w:val="1"/>
      <w:numFmt w:val="bullet"/>
      <w:lvlText w:val=""/>
      <w:lvlJc w:val="left"/>
      <w:pPr>
        <w:tabs>
          <w:tab w:val="left" w:pos="1920"/>
        </w:tabs>
        <w:ind w:left="1920" w:hanging="480"/>
      </w:pPr>
      <w:rPr>
        <w:rFonts w:hint="default" w:ascii="Wingdings" w:hAnsi="Wingdings"/>
      </w:rPr>
    </w:lvl>
    <w:lvl w:ilvl="3" w:tentative="0">
      <w:start w:val="1"/>
      <w:numFmt w:val="bullet"/>
      <w:lvlText w:val=""/>
      <w:lvlJc w:val="left"/>
      <w:pPr>
        <w:tabs>
          <w:tab w:val="left" w:pos="2400"/>
        </w:tabs>
        <w:ind w:left="2400" w:hanging="480"/>
      </w:pPr>
      <w:rPr>
        <w:rFonts w:hint="default" w:ascii="Wingdings" w:hAnsi="Wingdings"/>
      </w:rPr>
    </w:lvl>
    <w:lvl w:ilvl="4" w:tentative="0">
      <w:start w:val="1"/>
      <w:numFmt w:val="bullet"/>
      <w:lvlText w:val=""/>
      <w:lvlJc w:val="left"/>
      <w:pPr>
        <w:tabs>
          <w:tab w:val="left" w:pos="2880"/>
        </w:tabs>
        <w:ind w:left="2880" w:hanging="480"/>
      </w:pPr>
      <w:rPr>
        <w:rFonts w:hint="default" w:ascii="Wingdings" w:hAnsi="Wingdings"/>
      </w:rPr>
    </w:lvl>
    <w:lvl w:ilvl="5" w:tentative="0">
      <w:start w:val="1"/>
      <w:numFmt w:val="bullet"/>
      <w:lvlText w:val=""/>
      <w:lvlJc w:val="left"/>
      <w:pPr>
        <w:tabs>
          <w:tab w:val="left" w:pos="3360"/>
        </w:tabs>
        <w:ind w:left="3360" w:hanging="480"/>
      </w:pPr>
      <w:rPr>
        <w:rFonts w:hint="default" w:ascii="Wingdings" w:hAnsi="Wingdings"/>
      </w:rPr>
    </w:lvl>
    <w:lvl w:ilvl="6" w:tentative="0">
      <w:start w:val="1"/>
      <w:numFmt w:val="bullet"/>
      <w:lvlText w:val=""/>
      <w:lvlJc w:val="left"/>
      <w:pPr>
        <w:tabs>
          <w:tab w:val="left" w:pos="3840"/>
        </w:tabs>
        <w:ind w:left="3840" w:hanging="480"/>
      </w:pPr>
      <w:rPr>
        <w:rFonts w:hint="default" w:ascii="Wingdings" w:hAnsi="Wingdings"/>
      </w:rPr>
    </w:lvl>
    <w:lvl w:ilvl="7" w:tentative="0">
      <w:start w:val="1"/>
      <w:numFmt w:val="bullet"/>
      <w:lvlText w:val=""/>
      <w:lvlJc w:val="left"/>
      <w:pPr>
        <w:tabs>
          <w:tab w:val="left" w:pos="4320"/>
        </w:tabs>
        <w:ind w:left="4320" w:hanging="480"/>
      </w:pPr>
      <w:rPr>
        <w:rFonts w:hint="default" w:ascii="Wingdings" w:hAnsi="Wingdings"/>
      </w:rPr>
    </w:lvl>
    <w:lvl w:ilvl="8" w:tentative="0">
      <w:start w:val="1"/>
      <w:numFmt w:val="bullet"/>
      <w:lvlText w:val=""/>
      <w:lvlJc w:val="left"/>
      <w:pPr>
        <w:tabs>
          <w:tab w:val="left" w:pos="4800"/>
        </w:tabs>
        <w:ind w:left="4800" w:hanging="480"/>
      </w:pPr>
      <w:rPr>
        <w:rFonts w:hint="default" w:ascii="Wingdings" w:hAnsi="Wingdings"/>
      </w:rPr>
    </w:lvl>
  </w:abstractNum>
  <w:num w:numId="1">
    <w:abstractNumId w:val="6"/>
  </w:num>
  <w:num w:numId="2">
    <w:abstractNumId w:val="5"/>
  </w:num>
  <w:num w:numId="3">
    <w:abstractNumId w:val="8"/>
  </w:num>
  <w:num w:numId="4">
    <w:abstractNumId w:val="4"/>
  </w:num>
  <w:num w:numId="5">
    <w:abstractNumId w:val="0"/>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val="1"/>
  <w:bordersDoNotSurroundHeader w:val="1"/>
  <w:bordersDoNotSurroundFooter w:val="1"/>
  <w:documentProtection w:enforcement="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50"/>
    <w:rsid w:val="000015C4"/>
    <w:rsid w:val="00004886"/>
    <w:rsid w:val="000057CA"/>
    <w:rsid w:val="000079A5"/>
    <w:rsid w:val="000103F2"/>
    <w:rsid w:val="00011FA1"/>
    <w:rsid w:val="0001404A"/>
    <w:rsid w:val="00014D2F"/>
    <w:rsid w:val="00015227"/>
    <w:rsid w:val="00022FE3"/>
    <w:rsid w:val="000241CA"/>
    <w:rsid w:val="000254BA"/>
    <w:rsid w:val="00026877"/>
    <w:rsid w:val="00032050"/>
    <w:rsid w:val="000358DA"/>
    <w:rsid w:val="00037124"/>
    <w:rsid w:val="00042890"/>
    <w:rsid w:val="00044EB8"/>
    <w:rsid w:val="000452B9"/>
    <w:rsid w:val="00046548"/>
    <w:rsid w:val="00047F17"/>
    <w:rsid w:val="00055F35"/>
    <w:rsid w:val="00055FF8"/>
    <w:rsid w:val="00056FCC"/>
    <w:rsid w:val="0005745D"/>
    <w:rsid w:val="00062040"/>
    <w:rsid w:val="00062214"/>
    <w:rsid w:val="00062D04"/>
    <w:rsid w:val="00064F05"/>
    <w:rsid w:val="00067923"/>
    <w:rsid w:val="00067F03"/>
    <w:rsid w:val="0007299B"/>
    <w:rsid w:val="00072CFA"/>
    <w:rsid w:val="00073E75"/>
    <w:rsid w:val="00076C42"/>
    <w:rsid w:val="00080368"/>
    <w:rsid w:val="00082C65"/>
    <w:rsid w:val="00083C5D"/>
    <w:rsid w:val="00085FFF"/>
    <w:rsid w:val="00094C7E"/>
    <w:rsid w:val="00096AD6"/>
    <w:rsid w:val="00096CB9"/>
    <w:rsid w:val="000A205E"/>
    <w:rsid w:val="000A3753"/>
    <w:rsid w:val="000A5510"/>
    <w:rsid w:val="000B0E25"/>
    <w:rsid w:val="000B38FD"/>
    <w:rsid w:val="000B3E4A"/>
    <w:rsid w:val="000C0ABD"/>
    <w:rsid w:val="000C30A4"/>
    <w:rsid w:val="000C6541"/>
    <w:rsid w:val="000C6FB5"/>
    <w:rsid w:val="000C7D8C"/>
    <w:rsid w:val="000D27BF"/>
    <w:rsid w:val="000D542E"/>
    <w:rsid w:val="000D607F"/>
    <w:rsid w:val="000E1911"/>
    <w:rsid w:val="000E39C9"/>
    <w:rsid w:val="000E7532"/>
    <w:rsid w:val="000F08E9"/>
    <w:rsid w:val="000F1E68"/>
    <w:rsid w:val="000F28D6"/>
    <w:rsid w:val="000F4333"/>
    <w:rsid w:val="00101D22"/>
    <w:rsid w:val="00104633"/>
    <w:rsid w:val="00106EFB"/>
    <w:rsid w:val="00107480"/>
    <w:rsid w:val="00111D4C"/>
    <w:rsid w:val="0011235C"/>
    <w:rsid w:val="0012127F"/>
    <w:rsid w:val="00123FF8"/>
    <w:rsid w:val="00124E55"/>
    <w:rsid w:val="0012585F"/>
    <w:rsid w:val="00126835"/>
    <w:rsid w:val="0012744C"/>
    <w:rsid w:val="00131193"/>
    <w:rsid w:val="00131E81"/>
    <w:rsid w:val="00132592"/>
    <w:rsid w:val="00132AF3"/>
    <w:rsid w:val="00134C60"/>
    <w:rsid w:val="0013531F"/>
    <w:rsid w:val="001361BA"/>
    <w:rsid w:val="00136657"/>
    <w:rsid w:val="001404BC"/>
    <w:rsid w:val="001436E5"/>
    <w:rsid w:val="0014530F"/>
    <w:rsid w:val="00145D38"/>
    <w:rsid w:val="00152426"/>
    <w:rsid w:val="0015329B"/>
    <w:rsid w:val="00154BE3"/>
    <w:rsid w:val="00161005"/>
    <w:rsid w:val="00161EA4"/>
    <w:rsid w:val="001630A0"/>
    <w:rsid w:val="001648CB"/>
    <w:rsid w:val="00167D3C"/>
    <w:rsid w:val="00170F6A"/>
    <w:rsid w:val="00173966"/>
    <w:rsid w:val="00176F25"/>
    <w:rsid w:val="001818B1"/>
    <w:rsid w:val="0018593D"/>
    <w:rsid w:val="001877F0"/>
    <w:rsid w:val="001911E0"/>
    <w:rsid w:val="00191EB0"/>
    <w:rsid w:val="001950EE"/>
    <w:rsid w:val="0019680D"/>
    <w:rsid w:val="001A2DBB"/>
    <w:rsid w:val="001B2703"/>
    <w:rsid w:val="001B2F58"/>
    <w:rsid w:val="001B3440"/>
    <w:rsid w:val="001B5B6E"/>
    <w:rsid w:val="001B5F3D"/>
    <w:rsid w:val="001C36A2"/>
    <w:rsid w:val="001C52F6"/>
    <w:rsid w:val="001D1709"/>
    <w:rsid w:val="001D1D86"/>
    <w:rsid w:val="001D34F3"/>
    <w:rsid w:val="001D4A8B"/>
    <w:rsid w:val="001D4F37"/>
    <w:rsid w:val="001D631B"/>
    <w:rsid w:val="001D7249"/>
    <w:rsid w:val="001D76B5"/>
    <w:rsid w:val="001E5757"/>
    <w:rsid w:val="00200123"/>
    <w:rsid w:val="00201678"/>
    <w:rsid w:val="00204CE7"/>
    <w:rsid w:val="002100BD"/>
    <w:rsid w:val="00221A79"/>
    <w:rsid w:val="00221B1A"/>
    <w:rsid w:val="002242B5"/>
    <w:rsid w:val="00226498"/>
    <w:rsid w:val="00237651"/>
    <w:rsid w:val="002408A2"/>
    <w:rsid w:val="00240C55"/>
    <w:rsid w:val="00241CDE"/>
    <w:rsid w:val="00243985"/>
    <w:rsid w:val="0024423A"/>
    <w:rsid w:val="0024463D"/>
    <w:rsid w:val="00244AEA"/>
    <w:rsid w:val="00246D69"/>
    <w:rsid w:val="002507D1"/>
    <w:rsid w:val="00250921"/>
    <w:rsid w:val="00257ECF"/>
    <w:rsid w:val="002604AF"/>
    <w:rsid w:val="00260D2E"/>
    <w:rsid w:val="00263198"/>
    <w:rsid w:val="00265739"/>
    <w:rsid w:val="0027019C"/>
    <w:rsid w:val="002773DE"/>
    <w:rsid w:val="00280857"/>
    <w:rsid w:val="0028248B"/>
    <w:rsid w:val="00282FA3"/>
    <w:rsid w:val="00284343"/>
    <w:rsid w:val="00287AD9"/>
    <w:rsid w:val="00287F19"/>
    <w:rsid w:val="002908D1"/>
    <w:rsid w:val="0029129F"/>
    <w:rsid w:val="00292D73"/>
    <w:rsid w:val="002A2291"/>
    <w:rsid w:val="002A2842"/>
    <w:rsid w:val="002A5277"/>
    <w:rsid w:val="002A559E"/>
    <w:rsid w:val="002B041C"/>
    <w:rsid w:val="002B48B1"/>
    <w:rsid w:val="002C1A15"/>
    <w:rsid w:val="002C26EA"/>
    <w:rsid w:val="002C4A83"/>
    <w:rsid w:val="002C4F20"/>
    <w:rsid w:val="002C6005"/>
    <w:rsid w:val="002D0BDA"/>
    <w:rsid w:val="002D2044"/>
    <w:rsid w:val="002E1D02"/>
    <w:rsid w:val="002E273F"/>
    <w:rsid w:val="002E39C4"/>
    <w:rsid w:val="002E5DD4"/>
    <w:rsid w:val="002E68FF"/>
    <w:rsid w:val="002E6DA9"/>
    <w:rsid w:val="002E7322"/>
    <w:rsid w:val="002F25E2"/>
    <w:rsid w:val="002F2B5D"/>
    <w:rsid w:val="002F6C02"/>
    <w:rsid w:val="002F7C86"/>
    <w:rsid w:val="00302F38"/>
    <w:rsid w:val="00302F4B"/>
    <w:rsid w:val="00304881"/>
    <w:rsid w:val="00304889"/>
    <w:rsid w:val="00305144"/>
    <w:rsid w:val="003051F9"/>
    <w:rsid w:val="00305912"/>
    <w:rsid w:val="00307014"/>
    <w:rsid w:val="00310E3A"/>
    <w:rsid w:val="003152AD"/>
    <w:rsid w:val="00316F53"/>
    <w:rsid w:val="0031714A"/>
    <w:rsid w:val="00322065"/>
    <w:rsid w:val="003312E7"/>
    <w:rsid w:val="003332CC"/>
    <w:rsid w:val="00333E7E"/>
    <w:rsid w:val="003347BF"/>
    <w:rsid w:val="00337EC8"/>
    <w:rsid w:val="00340C49"/>
    <w:rsid w:val="0034389B"/>
    <w:rsid w:val="0034588C"/>
    <w:rsid w:val="0034729C"/>
    <w:rsid w:val="003510A0"/>
    <w:rsid w:val="003514DA"/>
    <w:rsid w:val="00354E9E"/>
    <w:rsid w:val="00360419"/>
    <w:rsid w:val="00375598"/>
    <w:rsid w:val="00382148"/>
    <w:rsid w:val="00383100"/>
    <w:rsid w:val="00383232"/>
    <w:rsid w:val="00384B47"/>
    <w:rsid w:val="0039204F"/>
    <w:rsid w:val="00392C89"/>
    <w:rsid w:val="003939B8"/>
    <w:rsid w:val="00395D23"/>
    <w:rsid w:val="00396A0A"/>
    <w:rsid w:val="00396B6B"/>
    <w:rsid w:val="003B06DA"/>
    <w:rsid w:val="003B410F"/>
    <w:rsid w:val="003B5DC4"/>
    <w:rsid w:val="003C1C8B"/>
    <w:rsid w:val="003C4962"/>
    <w:rsid w:val="003C5871"/>
    <w:rsid w:val="003D003A"/>
    <w:rsid w:val="003D4F0B"/>
    <w:rsid w:val="003D5961"/>
    <w:rsid w:val="003D6773"/>
    <w:rsid w:val="003D74D1"/>
    <w:rsid w:val="003D78DE"/>
    <w:rsid w:val="003E10FF"/>
    <w:rsid w:val="003E172E"/>
    <w:rsid w:val="003E2A4A"/>
    <w:rsid w:val="003E4099"/>
    <w:rsid w:val="003E565E"/>
    <w:rsid w:val="003F0CD9"/>
    <w:rsid w:val="003F0D4C"/>
    <w:rsid w:val="003F50C3"/>
    <w:rsid w:val="004054D6"/>
    <w:rsid w:val="004112D8"/>
    <w:rsid w:val="00413063"/>
    <w:rsid w:val="00413E42"/>
    <w:rsid w:val="0041626F"/>
    <w:rsid w:val="004231C8"/>
    <w:rsid w:val="0042328C"/>
    <w:rsid w:val="0042380F"/>
    <w:rsid w:val="00424998"/>
    <w:rsid w:val="004321B6"/>
    <w:rsid w:val="00432477"/>
    <w:rsid w:val="00433075"/>
    <w:rsid w:val="00433860"/>
    <w:rsid w:val="00445E32"/>
    <w:rsid w:val="004466B7"/>
    <w:rsid w:val="004516B8"/>
    <w:rsid w:val="00460AC2"/>
    <w:rsid w:val="00461BAC"/>
    <w:rsid w:val="0046225D"/>
    <w:rsid w:val="00464B22"/>
    <w:rsid w:val="004650EE"/>
    <w:rsid w:val="00465EF3"/>
    <w:rsid w:val="00466F21"/>
    <w:rsid w:val="004675E4"/>
    <w:rsid w:val="00470D24"/>
    <w:rsid w:val="004719DD"/>
    <w:rsid w:val="004728F8"/>
    <w:rsid w:val="00474F63"/>
    <w:rsid w:val="00475D59"/>
    <w:rsid w:val="00476446"/>
    <w:rsid w:val="00480F56"/>
    <w:rsid w:val="004846C8"/>
    <w:rsid w:val="00485274"/>
    <w:rsid w:val="00485490"/>
    <w:rsid w:val="00485A69"/>
    <w:rsid w:val="00486B80"/>
    <w:rsid w:val="0049197A"/>
    <w:rsid w:val="00491A9B"/>
    <w:rsid w:val="00493FA1"/>
    <w:rsid w:val="0049665F"/>
    <w:rsid w:val="0049731B"/>
    <w:rsid w:val="004A0600"/>
    <w:rsid w:val="004A367E"/>
    <w:rsid w:val="004A47BE"/>
    <w:rsid w:val="004A7843"/>
    <w:rsid w:val="004B3A1D"/>
    <w:rsid w:val="004B6C3C"/>
    <w:rsid w:val="004C097E"/>
    <w:rsid w:val="004C0D0B"/>
    <w:rsid w:val="004C3A39"/>
    <w:rsid w:val="004C63B1"/>
    <w:rsid w:val="004D4E9B"/>
    <w:rsid w:val="004D6B66"/>
    <w:rsid w:val="004E23D5"/>
    <w:rsid w:val="004E2AA7"/>
    <w:rsid w:val="004E2F9C"/>
    <w:rsid w:val="004E7CEB"/>
    <w:rsid w:val="004F652B"/>
    <w:rsid w:val="004F6628"/>
    <w:rsid w:val="004F6B77"/>
    <w:rsid w:val="004F6CC7"/>
    <w:rsid w:val="00500CF1"/>
    <w:rsid w:val="00502DE9"/>
    <w:rsid w:val="00504389"/>
    <w:rsid w:val="00512576"/>
    <w:rsid w:val="005140C8"/>
    <w:rsid w:val="00515AEE"/>
    <w:rsid w:val="00521923"/>
    <w:rsid w:val="00521DB6"/>
    <w:rsid w:val="00521F28"/>
    <w:rsid w:val="0052677F"/>
    <w:rsid w:val="0053090D"/>
    <w:rsid w:val="00531C2D"/>
    <w:rsid w:val="005323C1"/>
    <w:rsid w:val="00533820"/>
    <w:rsid w:val="005339E9"/>
    <w:rsid w:val="0053542B"/>
    <w:rsid w:val="005410BE"/>
    <w:rsid w:val="0054144B"/>
    <w:rsid w:val="005414D3"/>
    <w:rsid w:val="00542221"/>
    <w:rsid w:val="00543F95"/>
    <w:rsid w:val="00547A6F"/>
    <w:rsid w:val="00550826"/>
    <w:rsid w:val="0055136D"/>
    <w:rsid w:val="005536C3"/>
    <w:rsid w:val="005551FA"/>
    <w:rsid w:val="00561E1B"/>
    <w:rsid w:val="005656F1"/>
    <w:rsid w:val="00574456"/>
    <w:rsid w:val="0057533A"/>
    <w:rsid w:val="005768E3"/>
    <w:rsid w:val="005771B5"/>
    <w:rsid w:val="00577E62"/>
    <w:rsid w:val="005810FF"/>
    <w:rsid w:val="005815F7"/>
    <w:rsid w:val="00581A4A"/>
    <w:rsid w:val="005831C4"/>
    <w:rsid w:val="0058488F"/>
    <w:rsid w:val="0058543C"/>
    <w:rsid w:val="00587B31"/>
    <w:rsid w:val="005912A7"/>
    <w:rsid w:val="00593565"/>
    <w:rsid w:val="00595386"/>
    <w:rsid w:val="00596449"/>
    <w:rsid w:val="0059688E"/>
    <w:rsid w:val="005A4537"/>
    <w:rsid w:val="005A4B90"/>
    <w:rsid w:val="005A4C4A"/>
    <w:rsid w:val="005A6166"/>
    <w:rsid w:val="005B062E"/>
    <w:rsid w:val="005B0842"/>
    <w:rsid w:val="005B13EA"/>
    <w:rsid w:val="005B13F9"/>
    <w:rsid w:val="005B2EE8"/>
    <w:rsid w:val="005B3972"/>
    <w:rsid w:val="005B4529"/>
    <w:rsid w:val="005B5255"/>
    <w:rsid w:val="005B6C1B"/>
    <w:rsid w:val="005C0CE8"/>
    <w:rsid w:val="005C108A"/>
    <w:rsid w:val="005C11C9"/>
    <w:rsid w:val="005D1721"/>
    <w:rsid w:val="005D2F41"/>
    <w:rsid w:val="005D3E91"/>
    <w:rsid w:val="005D4217"/>
    <w:rsid w:val="005D5128"/>
    <w:rsid w:val="005E0743"/>
    <w:rsid w:val="005E3146"/>
    <w:rsid w:val="005E594F"/>
    <w:rsid w:val="005E6F1D"/>
    <w:rsid w:val="005F2DD5"/>
    <w:rsid w:val="00610E4D"/>
    <w:rsid w:val="00613384"/>
    <w:rsid w:val="00613AA6"/>
    <w:rsid w:val="00616C30"/>
    <w:rsid w:val="00623C32"/>
    <w:rsid w:val="00624F1B"/>
    <w:rsid w:val="00631D45"/>
    <w:rsid w:val="00632619"/>
    <w:rsid w:val="00632BD1"/>
    <w:rsid w:val="00637F60"/>
    <w:rsid w:val="00642F71"/>
    <w:rsid w:val="0064535D"/>
    <w:rsid w:val="0064557C"/>
    <w:rsid w:val="006510F7"/>
    <w:rsid w:val="00651C17"/>
    <w:rsid w:val="00651EBE"/>
    <w:rsid w:val="006545B0"/>
    <w:rsid w:val="006617C5"/>
    <w:rsid w:val="00661E05"/>
    <w:rsid w:val="00663A6A"/>
    <w:rsid w:val="00665152"/>
    <w:rsid w:val="00670AE2"/>
    <w:rsid w:val="00673AFE"/>
    <w:rsid w:val="00674A4B"/>
    <w:rsid w:val="00692324"/>
    <w:rsid w:val="006943E3"/>
    <w:rsid w:val="0069673B"/>
    <w:rsid w:val="006A17EC"/>
    <w:rsid w:val="006A1DD8"/>
    <w:rsid w:val="006A1EAC"/>
    <w:rsid w:val="006B2711"/>
    <w:rsid w:val="006B3571"/>
    <w:rsid w:val="006C0AF7"/>
    <w:rsid w:val="006C3C77"/>
    <w:rsid w:val="006D0232"/>
    <w:rsid w:val="006D0787"/>
    <w:rsid w:val="006D0B54"/>
    <w:rsid w:val="006D207F"/>
    <w:rsid w:val="006D5232"/>
    <w:rsid w:val="006E4EE2"/>
    <w:rsid w:val="006E5B35"/>
    <w:rsid w:val="006F06E0"/>
    <w:rsid w:val="006F2528"/>
    <w:rsid w:val="006F30FF"/>
    <w:rsid w:val="006F79F5"/>
    <w:rsid w:val="006F7DB7"/>
    <w:rsid w:val="00703000"/>
    <w:rsid w:val="0070596A"/>
    <w:rsid w:val="007073BD"/>
    <w:rsid w:val="007120C3"/>
    <w:rsid w:val="00716383"/>
    <w:rsid w:val="00716A53"/>
    <w:rsid w:val="00720B82"/>
    <w:rsid w:val="007236A6"/>
    <w:rsid w:val="007239B2"/>
    <w:rsid w:val="007247EF"/>
    <w:rsid w:val="00725668"/>
    <w:rsid w:val="00725C81"/>
    <w:rsid w:val="00727F24"/>
    <w:rsid w:val="007321E0"/>
    <w:rsid w:val="007450A8"/>
    <w:rsid w:val="00747688"/>
    <w:rsid w:val="00752EB9"/>
    <w:rsid w:val="0075722C"/>
    <w:rsid w:val="00764654"/>
    <w:rsid w:val="007676E4"/>
    <w:rsid w:val="007759BE"/>
    <w:rsid w:val="00782291"/>
    <w:rsid w:val="0078331B"/>
    <w:rsid w:val="0078545C"/>
    <w:rsid w:val="0078661E"/>
    <w:rsid w:val="00787519"/>
    <w:rsid w:val="007911E0"/>
    <w:rsid w:val="007922DF"/>
    <w:rsid w:val="007922FD"/>
    <w:rsid w:val="00794C18"/>
    <w:rsid w:val="00795FA1"/>
    <w:rsid w:val="007A052B"/>
    <w:rsid w:val="007A420A"/>
    <w:rsid w:val="007A7D98"/>
    <w:rsid w:val="007B4177"/>
    <w:rsid w:val="007B4822"/>
    <w:rsid w:val="007C3DF9"/>
    <w:rsid w:val="007C423E"/>
    <w:rsid w:val="007C454C"/>
    <w:rsid w:val="007C4801"/>
    <w:rsid w:val="007C5919"/>
    <w:rsid w:val="007C6A5A"/>
    <w:rsid w:val="007C6AC1"/>
    <w:rsid w:val="007C6EDC"/>
    <w:rsid w:val="007C7E0E"/>
    <w:rsid w:val="007D4042"/>
    <w:rsid w:val="007E7E68"/>
    <w:rsid w:val="007F02CE"/>
    <w:rsid w:val="007F1A62"/>
    <w:rsid w:val="007F3B23"/>
    <w:rsid w:val="007F4902"/>
    <w:rsid w:val="007F4A83"/>
    <w:rsid w:val="007F7603"/>
    <w:rsid w:val="00803E7E"/>
    <w:rsid w:val="00805E45"/>
    <w:rsid w:val="0080718E"/>
    <w:rsid w:val="00812CC7"/>
    <w:rsid w:val="00813457"/>
    <w:rsid w:val="0081361A"/>
    <w:rsid w:val="0081467F"/>
    <w:rsid w:val="0082010E"/>
    <w:rsid w:val="00820481"/>
    <w:rsid w:val="00820DC0"/>
    <w:rsid w:val="008248A7"/>
    <w:rsid w:val="00826467"/>
    <w:rsid w:val="008308F7"/>
    <w:rsid w:val="00832504"/>
    <w:rsid w:val="00832CEB"/>
    <w:rsid w:val="008406D9"/>
    <w:rsid w:val="00856278"/>
    <w:rsid w:val="0085650F"/>
    <w:rsid w:val="00865426"/>
    <w:rsid w:val="0087072C"/>
    <w:rsid w:val="0087662E"/>
    <w:rsid w:val="0087746B"/>
    <w:rsid w:val="00880371"/>
    <w:rsid w:val="008809B7"/>
    <w:rsid w:val="00882B15"/>
    <w:rsid w:val="00884F7F"/>
    <w:rsid w:val="00886345"/>
    <w:rsid w:val="008868EE"/>
    <w:rsid w:val="00890D9A"/>
    <w:rsid w:val="00897D4E"/>
    <w:rsid w:val="008A1797"/>
    <w:rsid w:val="008A3496"/>
    <w:rsid w:val="008A4936"/>
    <w:rsid w:val="008A637F"/>
    <w:rsid w:val="008A668E"/>
    <w:rsid w:val="008A72C1"/>
    <w:rsid w:val="008A7ED9"/>
    <w:rsid w:val="008B0226"/>
    <w:rsid w:val="008B0D0B"/>
    <w:rsid w:val="008C0C22"/>
    <w:rsid w:val="008C6304"/>
    <w:rsid w:val="008D2AE5"/>
    <w:rsid w:val="008D3720"/>
    <w:rsid w:val="008E2F39"/>
    <w:rsid w:val="008E43A1"/>
    <w:rsid w:val="008E493D"/>
    <w:rsid w:val="008E65EA"/>
    <w:rsid w:val="008F0F85"/>
    <w:rsid w:val="008F2CF2"/>
    <w:rsid w:val="008F36A7"/>
    <w:rsid w:val="009112DE"/>
    <w:rsid w:val="009118A6"/>
    <w:rsid w:val="00915C3C"/>
    <w:rsid w:val="00920375"/>
    <w:rsid w:val="00921B99"/>
    <w:rsid w:val="0092217F"/>
    <w:rsid w:val="00925612"/>
    <w:rsid w:val="00926361"/>
    <w:rsid w:val="0093146C"/>
    <w:rsid w:val="0093330C"/>
    <w:rsid w:val="00933987"/>
    <w:rsid w:val="0093539F"/>
    <w:rsid w:val="00936538"/>
    <w:rsid w:val="009371EA"/>
    <w:rsid w:val="009445EB"/>
    <w:rsid w:val="00946965"/>
    <w:rsid w:val="00952D73"/>
    <w:rsid w:val="00955275"/>
    <w:rsid w:val="009552BE"/>
    <w:rsid w:val="009552FD"/>
    <w:rsid w:val="009557A0"/>
    <w:rsid w:val="00962BD1"/>
    <w:rsid w:val="00963A02"/>
    <w:rsid w:val="00963CB0"/>
    <w:rsid w:val="00971B86"/>
    <w:rsid w:val="009726BE"/>
    <w:rsid w:val="009761FC"/>
    <w:rsid w:val="00980C9E"/>
    <w:rsid w:val="009818E3"/>
    <w:rsid w:val="00984FD8"/>
    <w:rsid w:val="009867B8"/>
    <w:rsid w:val="009877D9"/>
    <w:rsid w:val="009927E6"/>
    <w:rsid w:val="00993A94"/>
    <w:rsid w:val="00996A8E"/>
    <w:rsid w:val="0099739A"/>
    <w:rsid w:val="009A050B"/>
    <w:rsid w:val="009A7DEC"/>
    <w:rsid w:val="009B0C4F"/>
    <w:rsid w:val="009B2AC5"/>
    <w:rsid w:val="009B4E9C"/>
    <w:rsid w:val="009B5471"/>
    <w:rsid w:val="009B6E5A"/>
    <w:rsid w:val="009C34E0"/>
    <w:rsid w:val="009C3DC8"/>
    <w:rsid w:val="009C7D37"/>
    <w:rsid w:val="009D00CC"/>
    <w:rsid w:val="009D05CB"/>
    <w:rsid w:val="009D1309"/>
    <w:rsid w:val="009D232F"/>
    <w:rsid w:val="009D2FD7"/>
    <w:rsid w:val="009D6AA7"/>
    <w:rsid w:val="009D7A0F"/>
    <w:rsid w:val="009F23D3"/>
    <w:rsid w:val="009F7B67"/>
    <w:rsid w:val="00A00570"/>
    <w:rsid w:val="00A025C1"/>
    <w:rsid w:val="00A051E4"/>
    <w:rsid w:val="00A0705A"/>
    <w:rsid w:val="00A07345"/>
    <w:rsid w:val="00A140D3"/>
    <w:rsid w:val="00A1513A"/>
    <w:rsid w:val="00A155CD"/>
    <w:rsid w:val="00A20B91"/>
    <w:rsid w:val="00A21EB6"/>
    <w:rsid w:val="00A22C43"/>
    <w:rsid w:val="00A242D6"/>
    <w:rsid w:val="00A259A3"/>
    <w:rsid w:val="00A27A1C"/>
    <w:rsid w:val="00A3156F"/>
    <w:rsid w:val="00A31802"/>
    <w:rsid w:val="00A3761C"/>
    <w:rsid w:val="00A37ADA"/>
    <w:rsid w:val="00A4051B"/>
    <w:rsid w:val="00A4310C"/>
    <w:rsid w:val="00A450A2"/>
    <w:rsid w:val="00A47621"/>
    <w:rsid w:val="00A51EDE"/>
    <w:rsid w:val="00A6221F"/>
    <w:rsid w:val="00A63916"/>
    <w:rsid w:val="00A70804"/>
    <w:rsid w:val="00A71058"/>
    <w:rsid w:val="00A75C5D"/>
    <w:rsid w:val="00A76562"/>
    <w:rsid w:val="00A76ACA"/>
    <w:rsid w:val="00A84A38"/>
    <w:rsid w:val="00A95113"/>
    <w:rsid w:val="00A972F2"/>
    <w:rsid w:val="00AA15B9"/>
    <w:rsid w:val="00AA3681"/>
    <w:rsid w:val="00AA59C1"/>
    <w:rsid w:val="00AA5DD4"/>
    <w:rsid w:val="00AA6B2C"/>
    <w:rsid w:val="00AB0A9C"/>
    <w:rsid w:val="00AB428C"/>
    <w:rsid w:val="00AB6F15"/>
    <w:rsid w:val="00AB7D11"/>
    <w:rsid w:val="00AC1A5F"/>
    <w:rsid w:val="00AC3BF3"/>
    <w:rsid w:val="00AC5D70"/>
    <w:rsid w:val="00AC6778"/>
    <w:rsid w:val="00AC72A5"/>
    <w:rsid w:val="00AD1309"/>
    <w:rsid w:val="00AD1E7F"/>
    <w:rsid w:val="00AD5A68"/>
    <w:rsid w:val="00AD6196"/>
    <w:rsid w:val="00AD62AD"/>
    <w:rsid w:val="00AD6AEE"/>
    <w:rsid w:val="00AE127C"/>
    <w:rsid w:val="00AE13B1"/>
    <w:rsid w:val="00AE1947"/>
    <w:rsid w:val="00AE1A6D"/>
    <w:rsid w:val="00AE4E89"/>
    <w:rsid w:val="00AF4298"/>
    <w:rsid w:val="00AF6A02"/>
    <w:rsid w:val="00B026EE"/>
    <w:rsid w:val="00B07E3F"/>
    <w:rsid w:val="00B114BC"/>
    <w:rsid w:val="00B12309"/>
    <w:rsid w:val="00B162B8"/>
    <w:rsid w:val="00B16A64"/>
    <w:rsid w:val="00B21DC0"/>
    <w:rsid w:val="00B30FE2"/>
    <w:rsid w:val="00B3538B"/>
    <w:rsid w:val="00B36375"/>
    <w:rsid w:val="00B36E01"/>
    <w:rsid w:val="00B40125"/>
    <w:rsid w:val="00B4183E"/>
    <w:rsid w:val="00B44819"/>
    <w:rsid w:val="00B452F1"/>
    <w:rsid w:val="00B46EA6"/>
    <w:rsid w:val="00B51400"/>
    <w:rsid w:val="00B518FA"/>
    <w:rsid w:val="00B55225"/>
    <w:rsid w:val="00B57984"/>
    <w:rsid w:val="00B65961"/>
    <w:rsid w:val="00B712A7"/>
    <w:rsid w:val="00B7536C"/>
    <w:rsid w:val="00B75466"/>
    <w:rsid w:val="00B755F6"/>
    <w:rsid w:val="00B75FB5"/>
    <w:rsid w:val="00B76995"/>
    <w:rsid w:val="00B769E5"/>
    <w:rsid w:val="00B810F9"/>
    <w:rsid w:val="00B82C13"/>
    <w:rsid w:val="00B8485A"/>
    <w:rsid w:val="00B87B2A"/>
    <w:rsid w:val="00B90F25"/>
    <w:rsid w:val="00B947B6"/>
    <w:rsid w:val="00B94C22"/>
    <w:rsid w:val="00B96908"/>
    <w:rsid w:val="00BA2824"/>
    <w:rsid w:val="00BB62CA"/>
    <w:rsid w:val="00BB6B73"/>
    <w:rsid w:val="00BC053E"/>
    <w:rsid w:val="00BC3956"/>
    <w:rsid w:val="00BC4662"/>
    <w:rsid w:val="00BD6F2B"/>
    <w:rsid w:val="00BD7833"/>
    <w:rsid w:val="00BD7E6F"/>
    <w:rsid w:val="00BE0A8D"/>
    <w:rsid w:val="00BE18F9"/>
    <w:rsid w:val="00BF0105"/>
    <w:rsid w:val="00BF524B"/>
    <w:rsid w:val="00BF5ACE"/>
    <w:rsid w:val="00BF7782"/>
    <w:rsid w:val="00BF7FF6"/>
    <w:rsid w:val="00C02BAA"/>
    <w:rsid w:val="00C0771C"/>
    <w:rsid w:val="00C10913"/>
    <w:rsid w:val="00C121A5"/>
    <w:rsid w:val="00C1353F"/>
    <w:rsid w:val="00C24782"/>
    <w:rsid w:val="00C3180F"/>
    <w:rsid w:val="00C33B8F"/>
    <w:rsid w:val="00C34851"/>
    <w:rsid w:val="00C36C8B"/>
    <w:rsid w:val="00C4164E"/>
    <w:rsid w:val="00C42908"/>
    <w:rsid w:val="00C429DB"/>
    <w:rsid w:val="00C43A59"/>
    <w:rsid w:val="00C43C70"/>
    <w:rsid w:val="00C51652"/>
    <w:rsid w:val="00C52A0A"/>
    <w:rsid w:val="00C52DC5"/>
    <w:rsid w:val="00C55736"/>
    <w:rsid w:val="00C559F6"/>
    <w:rsid w:val="00C603A6"/>
    <w:rsid w:val="00C608DB"/>
    <w:rsid w:val="00C60D50"/>
    <w:rsid w:val="00C626CE"/>
    <w:rsid w:val="00C6415B"/>
    <w:rsid w:val="00C673A3"/>
    <w:rsid w:val="00C67F8B"/>
    <w:rsid w:val="00C81161"/>
    <w:rsid w:val="00C82B0B"/>
    <w:rsid w:val="00C8479E"/>
    <w:rsid w:val="00C85A03"/>
    <w:rsid w:val="00C868A0"/>
    <w:rsid w:val="00C86A04"/>
    <w:rsid w:val="00C87E2E"/>
    <w:rsid w:val="00C9117E"/>
    <w:rsid w:val="00C91D59"/>
    <w:rsid w:val="00C95600"/>
    <w:rsid w:val="00CA29CE"/>
    <w:rsid w:val="00CA4195"/>
    <w:rsid w:val="00CA6E03"/>
    <w:rsid w:val="00CB129A"/>
    <w:rsid w:val="00CB1D18"/>
    <w:rsid w:val="00CB377A"/>
    <w:rsid w:val="00CB4206"/>
    <w:rsid w:val="00CB4C36"/>
    <w:rsid w:val="00CC1435"/>
    <w:rsid w:val="00CC2A7C"/>
    <w:rsid w:val="00CC3B5C"/>
    <w:rsid w:val="00CD0946"/>
    <w:rsid w:val="00CD44CA"/>
    <w:rsid w:val="00CD54EE"/>
    <w:rsid w:val="00CD619A"/>
    <w:rsid w:val="00CD6581"/>
    <w:rsid w:val="00CD6EBF"/>
    <w:rsid w:val="00CE25DB"/>
    <w:rsid w:val="00CE29E7"/>
    <w:rsid w:val="00CE3459"/>
    <w:rsid w:val="00CE3642"/>
    <w:rsid w:val="00CE4C5E"/>
    <w:rsid w:val="00CE540F"/>
    <w:rsid w:val="00CE701B"/>
    <w:rsid w:val="00CF2A37"/>
    <w:rsid w:val="00CF46F7"/>
    <w:rsid w:val="00CF619A"/>
    <w:rsid w:val="00D026C1"/>
    <w:rsid w:val="00D03F14"/>
    <w:rsid w:val="00D04F2E"/>
    <w:rsid w:val="00D0511F"/>
    <w:rsid w:val="00D06BB9"/>
    <w:rsid w:val="00D12AB3"/>
    <w:rsid w:val="00D14850"/>
    <w:rsid w:val="00D155EF"/>
    <w:rsid w:val="00D16C2B"/>
    <w:rsid w:val="00D22A17"/>
    <w:rsid w:val="00D230C8"/>
    <w:rsid w:val="00D269F9"/>
    <w:rsid w:val="00D310CC"/>
    <w:rsid w:val="00D40A84"/>
    <w:rsid w:val="00D4114C"/>
    <w:rsid w:val="00D42E16"/>
    <w:rsid w:val="00D43585"/>
    <w:rsid w:val="00D4593A"/>
    <w:rsid w:val="00D46C4D"/>
    <w:rsid w:val="00D4753C"/>
    <w:rsid w:val="00D47E45"/>
    <w:rsid w:val="00D54897"/>
    <w:rsid w:val="00D602A6"/>
    <w:rsid w:val="00D602C3"/>
    <w:rsid w:val="00D6127F"/>
    <w:rsid w:val="00D62864"/>
    <w:rsid w:val="00D62D76"/>
    <w:rsid w:val="00D63895"/>
    <w:rsid w:val="00D641E1"/>
    <w:rsid w:val="00D66998"/>
    <w:rsid w:val="00D70565"/>
    <w:rsid w:val="00D752F4"/>
    <w:rsid w:val="00D76D7E"/>
    <w:rsid w:val="00D77131"/>
    <w:rsid w:val="00D83A44"/>
    <w:rsid w:val="00D84A4F"/>
    <w:rsid w:val="00D864F9"/>
    <w:rsid w:val="00D9077A"/>
    <w:rsid w:val="00D935A2"/>
    <w:rsid w:val="00D9360C"/>
    <w:rsid w:val="00D93A94"/>
    <w:rsid w:val="00D93BF3"/>
    <w:rsid w:val="00D96DB7"/>
    <w:rsid w:val="00DA0410"/>
    <w:rsid w:val="00DA101D"/>
    <w:rsid w:val="00DA1177"/>
    <w:rsid w:val="00DA19E0"/>
    <w:rsid w:val="00DA454B"/>
    <w:rsid w:val="00DB14FB"/>
    <w:rsid w:val="00DB2362"/>
    <w:rsid w:val="00DB3EBC"/>
    <w:rsid w:val="00DC3303"/>
    <w:rsid w:val="00DC4BC0"/>
    <w:rsid w:val="00DD03FB"/>
    <w:rsid w:val="00DD1226"/>
    <w:rsid w:val="00DD1480"/>
    <w:rsid w:val="00DD6A04"/>
    <w:rsid w:val="00DE347C"/>
    <w:rsid w:val="00DE4854"/>
    <w:rsid w:val="00DE7A2A"/>
    <w:rsid w:val="00DF12A8"/>
    <w:rsid w:val="00DF231A"/>
    <w:rsid w:val="00DF583E"/>
    <w:rsid w:val="00DF727B"/>
    <w:rsid w:val="00E00D6A"/>
    <w:rsid w:val="00E027FB"/>
    <w:rsid w:val="00E052BB"/>
    <w:rsid w:val="00E05334"/>
    <w:rsid w:val="00E07A53"/>
    <w:rsid w:val="00E138C5"/>
    <w:rsid w:val="00E14538"/>
    <w:rsid w:val="00E15E2E"/>
    <w:rsid w:val="00E17C5E"/>
    <w:rsid w:val="00E22EF3"/>
    <w:rsid w:val="00E234B6"/>
    <w:rsid w:val="00E26900"/>
    <w:rsid w:val="00E26F73"/>
    <w:rsid w:val="00E31C66"/>
    <w:rsid w:val="00E31DAD"/>
    <w:rsid w:val="00E32667"/>
    <w:rsid w:val="00E3375C"/>
    <w:rsid w:val="00E338F4"/>
    <w:rsid w:val="00E35595"/>
    <w:rsid w:val="00E4077C"/>
    <w:rsid w:val="00E4098D"/>
    <w:rsid w:val="00E434F4"/>
    <w:rsid w:val="00E43F5D"/>
    <w:rsid w:val="00E43FD5"/>
    <w:rsid w:val="00E470A9"/>
    <w:rsid w:val="00E52248"/>
    <w:rsid w:val="00E54CB5"/>
    <w:rsid w:val="00E5702F"/>
    <w:rsid w:val="00E61631"/>
    <w:rsid w:val="00E61D95"/>
    <w:rsid w:val="00E61EA2"/>
    <w:rsid w:val="00E65520"/>
    <w:rsid w:val="00E7227D"/>
    <w:rsid w:val="00E7277F"/>
    <w:rsid w:val="00E72A2F"/>
    <w:rsid w:val="00E754BC"/>
    <w:rsid w:val="00E75E22"/>
    <w:rsid w:val="00E82D29"/>
    <w:rsid w:val="00E85DF7"/>
    <w:rsid w:val="00E92F37"/>
    <w:rsid w:val="00E95261"/>
    <w:rsid w:val="00EA1343"/>
    <w:rsid w:val="00EA275D"/>
    <w:rsid w:val="00EB1FA8"/>
    <w:rsid w:val="00EB30F0"/>
    <w:rsid w:val="00EB445C"/>
    <w:rsid w:val="00EB5CBC"/>
    <w:rsid w:val="00EB7744"/>
    <w:rsid w:val="00EB7BF6"/>
    <w:rsid w:val="00EC2CD4"/>
    <w:rsid w:val="00ED1971"/>
    <w:rsid w:val="00ED2103"/>
    <w:rsid w:val="00ED33C6"/>
    <w:rsid w:val="00ED35FA"/>
    <w:rsid w:val="00EE1196"/>
    <w:rsid w:val="00EE2267"/>
    <w:rsid w:val="00EE3E9E"/>
    <w:rsid w:val="00EE49DA"/>
    <w:rsid w:val="00EE517D"/>
    <w:rsid w:val="00EE5C91"/>
    <w:rsid w:val="00EF0026"/>
    <w:rsid w:val="00EF00CB"/>
    <w:rsid w:val="00EF1C92"/>
    <w:rsid w:val="00EF20A1"/>
    <w:rsid w:val="00EF2683"/>
    <w:rsid w:val="00EF2B6A"/>
    <w:rsid w:val="00EF3753"/>
    <w:rsid w:val="00EF3F80"/>
    <w:rsid w:val="00EF4B1D"/>
    <w:rsid w:val="00EF611E"/>
    <w:rsid w:val="00EF6864"/>
    <w:rsid w:val="00EF78E6"/>
    <w:rsid w:val="00F003C4"/>
    <w:rsid w:val="00F00861"/>
    <w:rsid w:val="00F0214C"/>
    <w:rsid w:val="00F02552"/>
    <w:rsid w:val="00F03EFC"/>
    <w:rsid w:val="00F04436"/>
    <w:rsid w:val="00F07672"/>
    <w:rsid w:val="00F10A54"/>
    <w:rsid w:val="00F10CA2"/>
    <w:rsid w:val="00F110FB"/>
    <w:rsid w:val="00F11AA9"/>
    <w:rsid w:val="00F16DAB"/>
    <w:rsid w:val="00F20F43"/>
    <w:rsid w:val="00F22611"/>
    <w:rsid w:val="00F264D0"/>
    <w:rsid w:val="00F30542"/>
    <w:rsid w:val="00F329D8"/>
    <w:rsid w:val="00F36EF3"/>
    <w:rsid w:val="00F37181"/>
    <w:rsid w:val="00F4303B"/>
    <w:rsid w:val="00F50D57"/>
    <w:rsid w:val="00F55A88"/>
    <w:rsid w:val="00F610D6"/>
    <w:rsid w:val="00F63769"/>
    <w:rsid w:val="00F64A53"/>
    <w:rsid w:val="00F65CB7"/>
    <w:rsid w:val="00F66B31"/>
    <w:rsid w:val="00F6732D"/>
    <w:rsid w:val="00F67633"/>
    <w:rsid w:val="00F76092"/>
    <w:rsid w:val="00F82349"/>
    <w:rsid w:val="00F83072"/>
    <w:rsid w:val="00F8518F"/>
    <w:rsid w:val="00F854E4"/>
    <w:rsid w:val="00F85777"/>
    <w:rsid w:val="00F85AE6"/>
    <w:rsid w:val="00F864DD"/>
    <w:rsid w:val="00F942E0"/>
    <w:rsid w:val="00F944E9"/>
    <w:rsid w:val="00F94FB7"/>
    <w:rsid w:val="00F977E7"/>
    <w:rsid w:val="00FA48A0"/>
    <w:rsid w:val="00FA4F27"/>
    <w:rsid w:val="00FA61F4"/>
    <w:rsid w:val="00FA7A1B"/>
    <w:rsid w:val="00FB27E0"/>
    <w:rsid w:val="00FB38A4"/>
    <w:rsid w:val="00FB466C"/>
    <w:rsid w:val="00FB663C"/>
    <w:rsid w:val="00FB7B36"/>
    <w:rsid w:val="00FC0C1F"/>
    <w:rsid w:val="00FC0E9B"/>
    <w:rsid w:val="00FC28DE"/>
    <w:rsid w:val="00FC2F08"/>
    <w:rsid w:val="00FC6DF6"/>
    <w:rsid w:val="00FD0BE1"/>
    <w:rsid w:val="00FD570F"/>
    <w:rsid w:val="00FD5FAC"/>
    <w:rsid w:val="00FD6E4F"/>
    <w:rsid w:val="00FE5469"/>
    <w:rsid w:val="00FE6B36"/>
    <w:rsid w:val="00FE6C18"/>
    <w:rsid w:val="00FE6E6C"/>
    <w:rsid w:val="00FE78AD"/>
    <w:rsid w:val="00FF1885"/>
    <w:rsid w:val="00FF2374"/>
    <w:rsid w:val="00FF46F0"/>
    <w:rsid w:val="00FF5134"/>
    <w:rsid w:val="53411F7F"/>
    <w:rsid w:val="5D9A3D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nhideWhenUsed="0" w:uiPriority="0" w:semiHidden="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PMingLiU" w:cs="Times New Roman"/>
      <w:kern w:val="2"/>
      <w:sz w:val="24"/>
      <w:szCs w:val="24"/>
      <w:lang w:val="en-US" w:eastAsia="zh-TW" w:bidi="ar-SA"/>
    </w:rPr>
  </w:style>
  <w:style w:type="paragraph" w:styleId="2">
    <w:name w:val="heading 1"/>
    <w:basedOn w:val="1"/>
    <w:next w:val="1"/>
    <w:qFormat/>
    <w:uiPriority w:val="0"/>
    <w:pPr>
      <w:keepNext/>
      <w:widowControl/>
      <w:overflowPunct w:val="0"/>
      <w:autoSpaceDE w:val="0"/>
      <w:autoSpaceDN w:val="0"/>
      <w:adjustRightInd w:val="0"/>
      <w:ind w:right="752"/>
      <w:jc w:val="both"/>
      <w:textAlignment w:val="baseline"/>
      <w:outlineLvl w:val="0"/>
    </w:pPr>
    <w:rPr>
      <w:rFonts w:eastAsia="MingLiU"/>
      <w:b/>
      <w:kern w:val="0"/>
      <w:szCs w:val="20"/>
      <w:lang w:val="en-US"/>
    </w:rPr>
  </w:style>
  <w:style w:type="paragraph" w:styleId="3">
    <w:name w:val="heading 2"/>
    <w:basedOn w:val="1"/>
    <w:next w:val="1"/>
    <w:qFormat/>
    <w:uiPriority w:val="0"/>
    <w:pPr>
      <w:keepNext/>
      <w:snapToGrid w:val="0"/>
      <w:spacing w:line="300" w:lineRule="auto"/>
      <w:jc w:val="both"/>
      <w:outlineLvl w:val="1"/>
    </w:pPr>
    <w:rPr>
      <w:b/>
      <w:bCs/>
      <w:color w:val="000000"/>
      <w:lang w:val="en-US"/>
    </w:rPr>
  </w:style>
  <w:style w:type="paragraph" w:styleId="4">
    <w:name w:val="heading 3"/>
    <w:basedOn w:val="1"/>
    <w:next w:val="5"/>
    <w:qFormat/>
    <w:uiPriority w:val="0"/>
    <w:pPr>
      <w:keepNext/>
      <w:widowControl/>
      <w:overflowPunct w:val="0"/>
      <w:autoSpaceDE w:val="0"/>
      <w:autoSpaceDN w:val="0"/>
      <w:adjustRightInd w:val="0"/>
      <w:jc w:val="both"/>
      <w:textAlignment w:val="baseline"/>
      <w:outlineLvl w:val="2"/>
    </w:pPr>
    <w:rPr>
      <w:rFonts w:eastAsia="MingLiU"/>
      <w:b/>
      <w:kern w:val="0"/>
      <w:szCs w:val="20"/>
      <w:lang w:val="en-US"/>
    </w:rPr>
  </w:style>
  <w:style w:type="paragraph" w:styleId="6">
    <w:name w:val="heading 4"/>
    <w:basedOn w:val="1"/>
    <w:next w:val="1"/>
    <w:qFormat/>
    <w:uiPriority w:val="0"/>
    <w:pPr>
      <w:keepNext/>
      <w:snapToGrid w:val="0"/>
      <w:spacing w:line="300" w:lineRule="auto"/>
      <w:jc w:val="both"/>
      <w:outlineLvl w:val="3"/>
    </w:pPr>
    <w:rPr>
      <w:b/>
      <w:bCs/>
      <w:i/>
      <w:iCs/>
      <w:color w:val="000000"/>
      <w:lang w:val="en-US"/>
    </w:rPr>
  </w:style>
  <w:style w:type="paragraph" w:styleId="7">
    <w:name w:val="heading 5"/>
    <w:basedOn w:val="1"/>
    <w:next w:val="1"/>
    <w:qFormat/>
    <w:uiPriority w:val="0"/>
    <w:pPr>
      <w:keepNext/>
      <w:snapToGrid w:val="0"/>
      <w:spacing w:line="300" w:lineRule="auto"/>
      <w:ind w:left="151" w:leftChars="63"/>
      <w:jc w:val="both"/>
      <w:outlineLvl w:val="4"/>
    </w:pPr>
    <w:rPr>
      <w:b/>
      <w:bCs/>
      <w:i/>
      <w:iCs/>
      <w:color w:val="000000"/>
    </w:rPr>
  </w:style>
  <w:style w:type="paragraph" w:styleId="8">
    <w:name w:val="heading 6"/>
    <w:basedOn w:val="1"/>
    <w:next w:val="1"/>
    <w:qFormat/>
    <w:uiPriority w:val="0"/>
    <w:pPr>
      <w:keepNext/>
      <w:snapToGrid w:val="0"/>
      <w:spacing w:line="360" w:lineRule="atLeast"/>
      <w:jc w:val="center"/>
      <w:outlineLvl w:val="5"/>
    </w:pPr>
    <w:rPr>
      <w:b/>
      <w:bCs/>
      <w:color w:val="3366FF"/>
    </w:rPr>
  </w:style>
  <w:style w:type="character" w:default="1" w:styleId="17">
    <w:name w:val="Default Paragraph Font"/>
    <w:unhideWhenUsed/>
    <w:uiPriority w:val="1"/>
  </w:style>
  <w:style w:type="table" w:default="1" w:styleId="20">
    <w:name w:val="Normal Table"/>
    <w:unhideWhenUsed/>
    <w:uiPriority w:val="99"/>
    <w:tblPr>
      <w:tblLayout w:type="fixed"/>
      <w:tblCellMar>
        <w:top w:w="0" w:type="dxa"/>
        <w:left w:w="108" w:type="dxa"/>
        <w:bottom w:w="0" w:type="dxa"/>
        <w:right w:w="108" w:type="dxa"/>
      </w:tblCellMar>
    </w:tblPr>
  </w:style>
  <w:style w:type="paragraph" w:styleId="5">
    <w:name w:val="Normal Indent"/>
    <w:basedOn w:val="1"/>
    <w:uiPriority w:val="0"/>
    <w:pPr>
      <w:widowControl/>
      <w:overflowPunct w:val="0"/>
      <w:autoSpaceDE w:val="0"/>
      <w:autoSpaceDN w:val="0"/>
      <w:adjustRightInd w:val="0"/>
      <w:ind w:left="480"/>
      <w:jc w:val="both"/>
      <w:textAlignment w:val="baseline"/>
    </w:pPr>
    <w:rPr>
      <w:rFonts w:eastAsia="MingLiU"/>
      <w:kern w:val="0"/>
      <w:szCs w:val="20"/>
      <w:lang w:val="en-US"/>
    </w:rPr>
  </w:style>
  <w:style w:type="paragraph" w:styleId="9">
    <w:name w:val="Body Text 3"/>
    <w:basedOn w:val="1"/>
    <w:uiPriority w:val="0"/>
    <w:pPr>
      <w:autoSpaceDE w:val="0"/>
      <w:autoSpaceDN w:val="0"/>
      <w:adjustRightInd w:val="0"/>
    </w:pPr>
    <w:rPr>
      <w:b/>
      <w:bCs/>
      <w:kern w:val="0"/>
      <w:sz w:val="20"/>
      <w:szCs w:val="20"/>
      <w:lang w:val="en-US"/>
    </w:rPr>
  </w:style>
  <w:style w:type="paragraph" w:styleId="10">
    <w:name w:val="Body Text"/>
    <w:basedOn w:val="1"/>
    <w:uiPriority w:val="0"/>
    <w:rPr>
      <w:color w:val="FF0000"/>
      <w:sz w:val="28"/>
      <w:lang w:val="en-US"/>
    </w:rPr>
  </w:style>
  <w:style w:type="paragraph" w:styleId="11">
    <w:name w:val="Body Text Indent"/>
    <w:basedOn w:val="1"/>
    <w:uiPriority w:val="0"/>
    <w:pPr>
      <w:autoSpaceDE w:val="0"/>
      <w:autoSpaceDN w:val="0"/>
      <w:adjustRightInd w:val="0"/>
      <w:ind w:firstLine="960"/>
    </w:pPr>
    <w:rPr>
      <w:kern w:val="0"/>
      <w:lang w:val="en-US"/>
    </w:rPr>
  </w:style>
  <w:style w:type="paragraph" w:styleId="12">
    <w:name w:val="Balloon Text"/>
    <w:basedOn w:val="1"/>
    <w:semiHidden/>
    <w:uiPriority w:val="0"/>
    <w:rPr>
      <w:rFonts w:ascii="Arial" w:hAnsi="Arial"/>
      <w:sz w:val="18"/>
      <w:szCs w:val="18"/>
    </w:rPr>
  </w:style>
  <w:style w:type="paragraph" w:styleId="13">
    <w:name w:val="footer"/>
    <w:basedOn w:val="1"/>
    <w:link w:val="25"/>
    <w:uiPriority w:val="99"/>
    <w:pPr>
      <w:tabs>
        <w:tab w:val="center" w:pos="4153"/>
        <w:tab w:val="right" w:pos="8306"/>
      </w:tabs>
      <w:snapToGrid w:val="0"/>
    </w:pPr>
    <w:rPr>
      <w:sz w:val="20"/>
      <w:szCs w:val="20"/>
      <w:lang w:val="en-US"/>
    </w:rPr>
  </w:style>
  <w:style w:type="paragraph" w:styleId="14">
    <w:name w:val="header"/>
    <w:basedOn w:val="1"/>
    <w:uiPriority w:val="0"/>
    <w:pPr>
      <w:tabs>
        <w:tab w:val="center" w:pos="4153"/>
        <w:tab w:val="right" w:pos="8306"/>
      </w:tabs>
      <w:snapToGrid w:val="0"/>
    </w:pPr>
    <w:rPr>
      <w:sz w:val="20"/>
      <w:szCs w:val="20"/>
      <w:lang w:val="en-US"/>
    </w:rPr>
  </w:style>
  <w:style w:type="paragraph" w:styleId="15">
    <w:name w:val="Body Text 2"/>
    <w:basedOn w:val="1"/>
    <w:uiPriority w:val="0"/>
    <w:pPr>
      <w:autoSpaceDE w:val="0"/>
      <w:autoSpaceDN w:val="0"/>
      <w:adjustRightInd w:val="0"/>
      <w:jc w:val="center"/>
    </w:pPr>
    <w:rPr>
      <w:rFonts w:ascii="Arial" w:hAnsi="Arial" w:cs="Arial"/>
      <w:b/>
      <w:bCs/>
      <w:kern w:val="0"/>
      <w:u w:val="single"/>
      <w:lang w:val="en-US"/>
    </w:rPr>
  </w:style>
  <w:style w:type="paragraph" w:styleId="16">
    <w:name w:val="Title"/>
    <w:basedOn w:val="1"/>
    <w:qFormat/>
    <w:uiPriority w:val="0"/>
    <w:pPr>
      <w:widowControl/>
      <w:overflowPunct w:val="0"/>
      <w:autoSpaceDE w:val="0"/>
      <w:autoSpaceDN w:val="0"/>
      <w:adjustRightInd w:val="0"/>
      <w:jc w:val="center"/>
      <w:textAlignment w:val="baseline"/>
    </w:pPr>
    <w:rPr>
      <w:rFonts w:eastAsia="MingLiU"/>
      <w:b/>
      <w:kern w:val="0"/>
      <w:szCs w:val="20"/>
      <w:lang w:val="en-US"/>
    </w:rPr>
  </w:style>
  <w:style w:type="character" w:styleId="18">
    <w:name w:val="FollowedHyperlink"/>
    <w:uiPriority w:val="0"/>
    <w:rPr>
      <w:color w:val="800080"/>
      <w:u w:val="single"/>
    </w:rPr>
  </w:style>
  <w:style w:type="character" w:styleId="19">
    <w:name w:val="Hyperlink"/>
    <w:uiPriority w:val="0"/>
    <w:rPr>
      <w:color w:val="0000FF"/>
      <w:u w:val="single"/>
    </w:rPr>
  </w:style>
  <w:style w:type="table" w:styleId="21">
    <w:name w:val="Table Grid"/>
    <w:basedOn w:val="20"/>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Default"/>
    <w:uiPriority w:val="0"/>
    <w:pPr>
      <w:widowControl w:val="0"/>
      <w:autoSpaceDE w:val="0"/>
      <w:autoSpaceDN w:val="0"/>
      <w:adjustRightInd w:val="0"/>
    </w:pPr>
    <w:rPr>
      <w:rFonts w:ascii="Times New Roman" w:hAnsi="Times New Roman" w:eastAsia="PMingLiU" w:cs="Times New Roman"/>
      <w:color w:val="000000"/>
      <w:sz w:val="24"/>
      <w:szCs w:val="24"/>
      <w:lang w:val="en-US" w:eastAsia="zh-TW" w:bidi="ar-SA"/>
    </w:rPr>
  </w:style>
  <w:style w:type="paragraph" w:customStyle="1" w:styleId="23">
    <w:name w:val="List Paragraph"/>
    <w:basedOn w:val="1"/>
    <w:qFormat/>
    <w:uiPriority w:val="34"/>
    <w:pPr>
      <w:ind w:left="480" w:leftChars="200"/>
    </w:pPr>
  </w:style>
  <w:style w:type="character" w:customStyle="1" w:styleId="24">
    <w:name w:val="content21"/>
    <w:uiPriority w:val="0"/>
    <w:rPr>
      <w:rFonts w:hint="default" w:ascii="Arial" w:hAnsi="Arial" w:cs="Arial"/>
      <w:color w:val="222222"/>
      <w:sz w:val="18"/>
      <w:szCs w:val="18"/>
      <w:u w:val="none"/>
    </w:rPr>
  </w:style>
  <w:style w:type="character" w:customStyle="1" w:styleId="25">
    <w:name w:val="頁尾 字元"/>
    <w:basedOn w:val="17"/>
    <w:link w:val="13"/>
    <w:uiPriority w:val="99"/>
    <w:rPr>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HKSARG</Company>
  <Pages>8</Pages>
  <Words>921</Words>
  <Characters>5251</Characters>
  <Lines>43</Lines>
  <Paragraphs>12</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2017-12-11T06:34:00Z</dcterms:created>
  <dc:creator>localuser</dc:creator>
  <cp:lastModifiedBy>ShiYongRen</cp:lastModifiedBy>
  <cp:lastPrinted>2017-12-07T09:03:00Z</cp:lastPrinted>
  <dcterms:modified xsi:type="dcterms:W3CDTF">2018-01-05T10:11:34Z</dcterms:modified>
  <dc:title>EDUCATION AND MANPOWER BUREAU CIRCULAR MEMORANDUM NO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